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drawings/drawing1.xml" ContentType="application/vnd.openxmlformats-officedocument.drawingml.chartshapes+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CFD30" w14:textId="4D8B6AC3" w:rsidR="00B06694" w:rsidRDefault="00A333F7" w:rsidP="00644A13">
      <w:pPr>
        <w:pStyle w:val="Titl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41581"/>
        <w:rPr>
          <w:rFonts w:ascii="Garamond" w:hAnsi="Garamond"/>
          <w:b/>
          <w:color w:val="FFFFFF" w:themeColor="background1"/>
        </w:rPr>
      </w:pPr>
      <w:r w:rsidRPr="00B238B0">
        <w:rPr>
          <w:noProof/>
        </w:rPr>
        <w:drawing>
          <wp:anchor distT="0" distB="0" distL="114300" distR="114300" simplePos="0" relativeHeight="251654144" behindDoc="0" locked="0" layoutInCell="1" allowOverlap="1" wp14:anchorId="2FFD0603" wp14:editId="7955E3BC">
            <wp:simplePos x="0" y="0"/>
            <wp:positionH relativeFrom="margin">
              <wp:align>right</wp:align>
            </wp:positionH>
            <wp:positionV relativeFrom="paragraph">
              <wp:posOffset>30480</wp:posOffset>
            </wp:positionV>
            <wp:extent cx="754380" cy="982980"/>
            <wp:effectExtent l="0" t="0" r="762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694" w:rsidRPr="00644A13">
        <w:rPr>
          <w:rFonts w:ascii="Garamond" w:hAnsi="Garamond"/>
          <w:b/>
          <w:color w:val="FFFFFF" w:themeColor="background1"/>
        </w:rPr>
        <w:t>Maine Economic Indicators</w:t>
      </w:r>
      <w:bookmarkStart w:id="0" w:name="_Hlk530040917"/>
      <w:bookmarkEnd w:id="0"/>
    </w:p>
    <w:p w14:paraId="3DF0473E" w14:textId="77777777" w:rsidR="00A333F7" w:rsidRPr="00A333F7" w:rsidRDefault="00A333F7" w:rsidP="00644A13">
      <w:pPr>
        <w:pStyle w:val="Titl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41581"/>
        <w:rPr>
          <w:rFonts w:ascii="Garamond" w:hAnsi="Garamond"/>
          <w:color w:val="FFFFFF" w:themeColor="background1"/>
          <w:sz w:val="18"/>
          <w:szCs w:val="18"/>
        </w:rPr>
      </w:pPr>
    </w:p>
    <w:p w14:paraId="0A19E55F" w14:textId="7F202890" w:rsidR="00B06694" w:rsidRDefault="00D87802" w:rsidP="00644A13">
      <w:pPr>
        <w:pStyle w:val="Titl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41581"/>
        <w:rPr>
          <w:rFonts w:ascii="Garamond" w:hAnsi="Garamond"/>
          <w:color w:val="FFFFFF" w:themeColor="background1"/>
        </w:rPr>
      </w:pPr>
      <w:r>
        <w:rPr>
          <w:rFonts w:ascii="Garamond" w:hAnsi="Garamond"/>
          <w:color w:val="FFFFFF" w:themeColor="background1"/>
        </w:rPr>
        <w:t>October</w:t>
      </w:r>
      <w:r w:rsidR="000C5677">
        <w:rPr>
          <w:rFonts w:ascii="Garamond" w:hAnsi="Garamond"/>
          <w:color w:val="FFFFFF" w:themeColor="background1"/>
        </w:rPr>
        <w:t xml:space="preserve"> </w:t>
      </w:r>
      <w:r w:rsidR="0057502A">
        <w:rPr>
          <w:rFonts w:ascii="Garamond" w:hAnsi="Garamond"/>
          <w:color w:val="FFFFFF" w:themeColor="background1"/>
        </w:rPr>
        <w:t>2020</w:t>
      </w:r>
    </w:p>
    <w:p w14:paraId="5E3AFAB2" w14:textId="29A9C6C0" w:rsidR="00712671" w:rsidRPr="006962E4" w:rsidRDefault="00712671" w:rsidP="00712671">
      <w:pPr>
        <w:rPr>
          <w:b/>
          <w:sz w:val="32"/>
          <w:szCs w:val="32"/>
        </w:rPr>
      </w:pPr>
    </w:p>
    <w:p w14:paraId="68280B25" w14:textId="1CFCCE4E" w:rsidR="00C210E5" w:rsidRDefault="00C210E5" w:rsidP="00A333F7">
      <w:pPr>
        <w:pBdr>
          <w:bottom w:val="single" w:sz="4" w:space="1" w:color="auto"/>
        </w:pBdr>
        <w:rPr>
          <w:b/>
          <w:sz w:val="32"/>
          <w:szCs w:val="32"/>
        </w:rPr>
      </w:pPr>
      <w:r>
        <w:rPr>
          <w:b/>
          <w:sz w:val="32"/>
          <w:szCs w:val="32"/>
        </w:rPr>
        <w:t>Maine Department of Administrative and Financial Services</w:t>
      </w:r>
    </w:p>
    <w:p w14:paraId="2DF36544" w14:textId="77777777" w:rsidR="00C210E5" w:rsidRDefault="00C210E5" w:rsidP="00A333F7">
      <w:pPr>
        <w:pBdr>
          <w:bottom w:val="single" w:sz="4" w:space="1" w:color="auto"/>
        </w:pBdr>
        <w:rPr>
          <w:b/>
          <w:sz w:val="32"/>
          <w:szCs w:val="32"/>
        </w:rPr>
      </w:pPr>
      <w:r>
        <w:rPr>
          <w:b/>
          <w:sz w:val="32"/>
          <w:szCs w:val="32"/>
        </w:rPr>
        <w:t>Office of the State Economist</w:t>
      </w:r>
    </w:p>
    <w:p w14:paraId="35035FC0" w14:textId="0FAF5148" w:rsidR="005A6DB2" w:rsidRDefault="005A6DB2" w:rsidP="006962E4">
      <w:pPr>
        <w:pBdr>
          <w:bottom w:val="single" w:sz="4" w:space="1" w:color="auto"/>
        </w:pBdr>
        <w:rPr>
          <w:b/>
          <w:sz w:val="32"/>
          <w:szCs w:val="32"/>
        </w:rPr>
      </w:pPr>
    </w:p>
    <w:p w14:paraId="53CDFFD7" w14:textId="1C8B124B" w:rsidR="005A6DB2" w:rsidRDefault="005A6DB2" w:rsidP="006962E4">
      <w:pPr>
        <w:pBdr>
          <w:bottom w:val="single" w:sz="4" w:space="1" w:color="auto"/>
        </w:pBdr>
        <w:rPr>
          <w:b/>
          <w:sz w:val="32"/>
          <w:szCs w:val="32"/>
        </w:rPr>
      </w:pPr>
    </w:p>
    <w:p w14:paraId="1E4988D0" w14:textId="297A4D99" w:rsidR="005A6DB2" w:rsidRDefault="005A6DB2" w:rsidP="006962E4">
      <w:pPr>
        <w:pBdr>
          <w:bottom w:val="single" w:sz="4" w:space="1" w:color="auto"/>
        </w:pBdr>
        <w:rPr>
          <w:b/>
          <w:sz w:val="32"/>
          <w:szCs w:val="32"/>
        </w:rPr>
      </w:pPr>
    </w:p>
    <w:p w14:paraId="2DAF7A59" w14:textId="0E2C7C6D" w:rsidR="005A6DB2" w:rsidRDefault="005A6DB2" w:rsidP="006962E4">
      <w:pPr>
        <w:pBdr>
          <w:bottom w:val="single" w:sz="4" w:space="1" w:color="auto"/>
        </w:pBdr>
        <w:rPr>
          <w:b/>
          <w:sz w:val="32"/>
          <w:szCs w:val="32"/>
        </w:rPr>
      </w:pPr>
    </w:p>
    <w:p w14:paraId="5BAE191E" w14:textId="54ED7DC2" w:rsidR="005A6DB2" w:rsidRDefault="005A6DB2" w:rsidP="006962E4">
      <w:pPr>
        <w:pBdr>
          <w:bottom w:val="single" w:sz="4" w:space="1" w:color="auto"/>
        </w:pBdr>
        <w:rPr>
          <w:b/>
          <w:sz w:val="32"/>
          <w:szCs w:val="32"/>
        </w:rPr>
      </w:pPr>
    </w:p>
    <w:p w14:paraId="35FE693F" w14:textId="01BFB793" w:rsidR="005A6DB2" w:rsidRDefault="005A6DB2" w:rsidP="006962E4">
      <w:pPr>
        <w:pBdr>
          <w:bottom w:val="single" w:sz="4" w:space="1" w:color="auto"/>
        </w:pBdr>
        <w:rPr>
          <w:b/>
          <w:sz w:val="32"/>
          <w:szCs w:val="32"/>
        </w:rPr>
      </w:pPr>
    </w:p>
    <w:p w14:paraId="32F22CD0" w14:textId="0D5C8EBE" w:rsidR="005A6DB2" w:rsidRDefault="005A6DB2" w:rsidP="006962E4">
      <w:pPr>
        <w:pBdr>
          <w:bottom w:val="single" w:sz="4" w:space="1" w:color="auto"/>
        </w:pBdr>
        <w:rPr>
          <w:b/>
          <w:sz w:val="32"/>
          <w:szCs w:val="32"/>
        </w:rPr>
      </w:pPr>
    </w:p>
    <w:p w14:paraId="32DCB936" w14:textId="301DB91A" w:rsidR="005A6DB2" w:rsidRDefault="005A6DB2" w:rsidP="006962E4">
      <w:pPr>
        <w:pBdr>
          <w:bottom w:val="single" w:sz="4" w:space="1" w:color="auto"/>
        </w:pBdr>
        <w:rPr>
          <w:b/>
          <w:sz w:val="32"/>
          <w:szCs w:val="32"/>
        </w:rPr>
      </w:pPr>
    </w:p>
    <w:p w14:paraId="6CD0D286" w14:textId="58217F09" w:rsidR="005A6DB2" w:rsidRDefault="005A6DB2" w:rsidP="006962E4">
      <w:pPr>
        <w:pBdr>
          <w:bottom w:val="single" w:sz="4" w:space="1" w:color="auto"/>
        </w:pBdr>
        <w:rPr>
          <w:b/>
          <w:sz w:val="32"/>
          <w:szCs w:val="32"/>
        </w:rPr>
      </w:pPr>
    </w:p>
    <w:p w14:paraId="0F90D4E0" w14:textId="5FA0F3D6" w:rsidR="00C210E5" w:rsidRPr="00CC5F7C" w:rsidRDefault="00CC5F7C" w:rsidP="006962E4">
      <w:pPr>
        <w:pBdr>
          <w:bottom w:val="single" w:sz="4" w:space="1" w:color="auto"/>
        </w:pBdr>
        <w:rPr>
          <w:sz w:val="32"/>
          <w:szCs w:val="32"/>
        </w:rPr>
      </w:pPr>
      <w:r w:rsidRPr="00CC5F7C">
        <w:rPr>
          <w:sz w:val="32"/>
          <w:szCs w:val="32"/>
        </w:rPr>
        <w:t>Amanda Rector, State Economist</w:t>
      </w:r>
    </w:p>
    <w:p w14:paraId="3CB747DD" w14:textId="05088B6E" w:rsidR="00CC5F7C" w:rsidRPr="00CC5F7C" w:rsidRDefault="00E42108" w:rsidP="006962E4">
      <w:pPr>
        <w:pBdr>
          <w:bottom w:val="single" w:sz="4" w:space="1" w:color="auto"/>
        </w:pBdr>
        <w:rPr>
          <w:sz w:val="32"/>
          <w:szCs w:val="32"/>
        </w:rPr>
      </w:pPr>
      <w:r>
        <w:rPr>
          <w:sz w:val="32"/>
          <w:szCs w:val="32"/>
        </w:rPr>
        <w:t xml:space="preserve">Angela </w:t>
      </w:r>
      <w:r w:rsidR="002F5F1C">
        <w:rPr>
          <w:sz w:val="32"/>
          <w:szCs w:val="32"/>
        </w:rPr>
        <w:t>H</w:t>
      </w:r>
      <w:r>
        <w:rPr>
          <w:sz w:val="32"/>
          <w:szCs w:val="32"/>
        </w:rPr>
        <w:t>allowell</w:t>
      </w:r>
      <w:r w:rsidR="00CC5F7C" w:rsidRPr="00CC5F7C">
        <w:rPr>
          <w:sz w:val="32"/>
          <w:szCs w:val="32"/>
        </w:rPr>
        <w:t>, Economic Analyst</w:t>
      </w:r>
    </w:p>
    <w:p w14:paraId="36E79B0F" w14:textId="77777777" w:rsidR="00C210E5" w:rsidRDefault="00C210E5" w:rsidP="006962E4">
      <w:pPr>
        <w:pBdr>
          <w:bottom w:val="single" w:sz="4" w:space="1" w:color="auto"/>
        </w:pBdr>
        <w:rPr>
          <w:b/>
          <w:sz w:val="32"/>
          <w:szCs w:val="32"/>
        </w:rPr>
      </w:pPr>
    </w:p>
    <w:p w14:paraId="6B1B4787" w14:textId="0A5FAE1F" w:rsidR="006962E4" w:rsidRDefault="006962E4" w:rsidP="006962E4">
      <w:r>
        <w:t>Maine Economic Indicator</w:t>
      </w:r>
      <w:r w:rsidR="00C210E5">
        <w:t>s</w:t>
      </w:r>
      <w:r>
        <w:t xml:space="preserve"> is a monthly report assembled by the </w:t>
      </w:r>
      <w:r w:rsidR="00BE1862">
        <w:t xml:space="preserve">Office of the </w:t>
      </w:r>
      <w:r>
        <w:t>State Economist</w:t>
      </w:r>
      <w:r w:rsidR="00743AEF">
        <w:t xml:space="preserve"> </w:t>
      </w:r>
      <w:r w:rsidR="00C210E5">
        <w:t>that</w:t>
      </w:r>
      <w:r w:rsidR="00743AEF">
        <w:t xml:space="preserve"> provides</w:t>
      </w:r>
      <w:r>
        <w:t xml:space="preserve"> a synopsis of current economic trends and indicators for the state in comparison to New England and the United States. </w:t>
      </w:r>
      <w:r w:rsidR="00C210E5">
        <w:t xml:space="preserve">The intent of this report is to provide the public with a single document containing data aggregated from different sources typically used to track current economic and demographic conditions in the state. </w:t>
      </w:r>
    </w:p>
    <w:p w14:paraId="0A563D60" w14:textId="06290094" w:rsidR="00743AEF" w:rsidRDefault="006962E4" w:rsidP="006962E4">
      <w:r>
        <w:t xml:space="preserve">The appendix provides comprehensive information </w:t>
      </w:r>
      <w:r w:rsidR="00743AEF">
        <w:t>related to the data</w:t>
      </w:r>
      <w:r w:rsidR="002538F8">
        <w:t xml:space="preserve"> presented herein</w:t>
      </w:r>
      <w:r>
        <w:t>.</w:t>
      </w:r>
      <w:r w:rsidR="00C210E5">
        <w:t xml:space="preserve"> Data included in this report are</w:t>
      </w:r>
      <w:r w:rsidR="00743AEF">
        <w:t xml:space="preserve"> assembled from various sources, </w:t>
      </w:r>
      <w:r w:rsidR="00C210E5">
        <w:t>subject to frequent revision,</w:t>
      </w:r>
      <w:r w:rsidR="00743AEF">
        <w:t xml:space="preserve"> </w:t>
      </w:r>
      <w:r w:rsidR="00743AEF" w:rsidRPr="00743AEF">
        <w:t xml:space="preserve">and </w:t>
      </w:r>
      <w:r w:rsidR="00C210E5">
        <w:t>provided in this report</w:t>
      </w:r>
      <w:r w:rsidR="00743AEF" w:rsidRPr="00743AEF">
        <w:t xml:space="preserve"> “as is”</w:t>
      </w:r>
      <w:r w:rsidR="00C210E5">
        <w:t xml:space="preserve"> at the time of publication</w:t>
      </w:r>
      <w:r w:rsidR="00743AEF" w:rsidRPr="00743AEF">
        <w:t xml:space="preserve">. Therefore, data presented </w:t>
      </w:r>
      <w:r w:rsidR="0085240A">
        <w:t>i</w:t>
      </w:r>
      <w:r w:rsidR="00743AEF" w:rsidRPr="00743AEF">
        <w:t xml:space="preserve">n this </w:t>
      </w:r>
      <w:r w:rsidR="00743AEF">
        <w:t>report</w:t>
      </w:r>
      <w:r w:rsidR="00BE1862">
        <w:t xml:space="preserve"> are subject to change over</w:t>
      </w:r>
      <w:r w:rsidR="007B31B9">
        <w:t xml:space="preserve"> </w:t>
      </w:r>
      <w:r w:rsidR="00BE1862">
        <w:t>time</w:t>
      </w:r>
      <w:r w:rsidR="00C210E5">
        <w:t>.</w:t>
      </w:r>
    </w:p>
    <w:p w14:paraId="448FDD38" w14:textId="74D6BC7B" w:rsidR="00B40ED3" w:rsidRDefault="00B40ED3" w:rsidP="006962E4">
      <w:r w:rsidRPr="003278E0">
        <w:rPr>
          <w:b/>
        </w:rPr>
        <w:t xml:space="preserve">It is important to note that some data </w:t>
      </w:r>
      <w:r w:rsidR="00131785">
        <w:rPr>
          <w:b/>
        </w:rPr>
        <w:t>may</w:t>
      </w:r>
      <w:r w:rsidR="001D1AD4" w:rsidRPr="003278E0">
        <w:rPr>
          <w:b/>
        </w:rPr>
        <w:t xml:space="preserve"> </w:t>
      </w:r>
      <w:r w:rsidRPr="003278E0">
        <w:rPr>
          <w:b/>
        </w:rPr>
        <w:t xml:space="preserve">precede the </w:t>
      </w:r>
      <w:r w:rsidR="00036F5B">
        <w:rPr>
          <w:b/>
        </w:rPr>
        <w:t xml:space="preserve">full </w:t>
      </w:r>
      <w:r w:rsidRPr="003278E0">
        <w:rPr>
          <w:b/>
        </w:rPr>
        <w:t>onset of COVID-19</w:t>
      </w:r>
      <w:r w:rsidR="00CC5299">
        <w:rPr>
          <w:b/>
        </w:rPr>
        <w:t>.</w:t>
      </w:r>
      <w:r w:rsidR="00AA5911">
        <w:rPr>
          <w:b/>
        </w:rPr>
        <w:t xml:space="preserve"> Please also note that changes in economic indicators cannot uniquely be interpreted as the impact of COVID-19. </w:t>
      </w:r>
    </w:p>
    <w:p w14:paraId="40BA694A" w14:textId="4A660D2E" w:rsidR="00B22C9F" w:rsidRDefault="00B22C9F" w:rsidP="006962E4"/>
    <w:p w14:paraId="48147A9F" w14:textId="77777777" w:rsidR="00B22C9F" w:rsidRDefault="00B22C9F" w:rsidP="006962E4"/>
    <w:p w14:paraId="1E811334" w14:textId="389050F6" w:rsidR="00AF23BE" w:rsidRDefault="00AF23BE" w:rsidP="00AF23BE">
      <w:pPr>
        <w:pStyle w:val="Heading1"/>
        <w:pBdr>
          <w:bottom w:val="single" w:sz="4" w:space="1" w:color="auto"/>
        </w:pBdr>
      </w:pPr>
      <w:r>
        <w:lastRenderedPageBreak/>
        <w:t>Snapshot</w:t>
      </w:r>
    </w:p>
    <w:p w14:paraId="58CA7360" w14:textId="22CDDEBE" w:rsidR="00AF23BE" w:rsidRDefault="00AF23BE" w:rsidP="007F5B2A">
      <w:pPr>
        <w:spacing w:after="0"/>
      </w:pPr>
    </w:p>
    <w:p w14:paraId="4EE6E5AE" w14:textId="6D085E41" w:rsidR="00D170EB" w:rsidRDefault="00D170EB" w:rsidP="007F5B2A">
      <w:pPr>
        <w:spacing w:after="0"/>
      </w:pPr>
      <w:r>
        <w:t>Indicator</w:t>
      </w:r>
      <w:r w:rsidR="0013269C">
        <w:t>s</w:t>
      </w:r>
      <w:r>
        <w:t xml:space="preserve"> in this section</w:t>
      </w:r>
      <w:r w:rsidR="0013269C">
        <w:t xml:space="preserve"> provide</w:t>
      </w:r>
      <w:r>
        <w:t xml:space="preserve"> a summary of Maine’s current economic status</w:t>
      </w:r>
      <w:r w:rsidR="00B64136">
        <w:t xml:space="preserve">. </w:t>
      </w:r>
      <w:r w:rsidR="00890197">
        <w:t xml:space="preserve">Figures for Maine are compared to New England and the United States. Sources are given in the appendix. </w:t>
      </w:r>
    </w:p>
    <w:p w14:paraId="159C6387" w14:textId="77777777" w:rsidR="00D170EB" w:rsidRDefault="00D170EB" w:rsidP="007F5B2A">
      <w:pPr>
        <w:spacing w:after="0"/>
      </w:pPr>
    </w:p>
    <w:tbl>
      <w:tblPr>
        <w:tblStyle w:val="TableGrid"/>
        <w:tblW w:w="10705" w:type="dxa"/>
        <w:jc w:val="center"/>
        <w:tblLook w:val="04A0" w:firstRow="1" w:lastRow="0" w:firstColumn="1" w:lastColumn="0" w:noHBand="0" w:noVBand="1"/>
      </w:tblPr>
      <w:tblGrid>
        <w:gridCol w:w="1975"/>
        <w:gridCol w:w="4230"/>
        <w:gridCol w:w="1170"/>
        <w:gridCol w:w="1710"/>
        <w:gridCol w:w="1620"/>
      </w:tblGrid>
      <w:tr w:rsidR="00CD1429" w14:paraId="32381533" w14:textId="77777777" w:rsidTr="0000045B">
        <w:trPr>
          <w:trHeight w:val="269"/>
          <w:jc w:val="center"/>
        </w:trPr>
        <w:tc>
          <w:tcPr>
            <w:tcW w:w="1975" w:type="dxa"/>
            <w:shd w:val="clear" w:color="auto" w:fill="E7E6E6" w:themeFill="background2"/>
            <w:vAlign w:val="bottom"/>
          </w:tcPr>
          <w:p w14:paraId="69B920A2" w14:textId="77777777" w:rsidR="00CD1429" w:rsidRPr="006712D1" w:rsidRDefault="00CD1429" w:rsidP="006712D1">
            <w:pPr>
              <w:jc w:val="center"/>
              <w:rPr>
                <w:b/>
              </w:rPr>
            </w:pPr>
            <w:bookmarkStart w:id="1" w:name="_Hlk523407925"/>
            <w:r w:rsidRPr="006712D1">
              <w:rPr>
                <w:b/>
              </w:rPr>
              <w:t>Reference Period</w:t>
            </w:r>
          </w:p>
        </w:tc>
        <w:tc>
          <w:tcPr>
            <w:tcW w:w="4230" w:type="dxa"/>
            <w:shd w:val="clear" w:color="auto" w:fill="E7E6E6" w:themeFill="background2"/>
            <w:vAlign w:val="bottom"/>
          </w:tcPr>
          <w:p w14:paraId="7E25E33B" w14:textId="77777777" w:rsidR="00CD1429" w:rsidRPr="006712D1" w:rsidRDefault="00CD1429" w:rsidP="006712D1">
            <w:pPr>
              <w:jc w:val="center"/>
              <w:rPr>
                <w:b/>
              </w:rPr>
            </w:pPr>
          </w:p>
        </w:tc>
        <w:tc>
          <w:tcPr>
            <w:tcW w:w="1170" w:type="dxa"/>
            <w:shd w:val="clear" w:color="auto" w:fill="E7E6E6" w:themeFill="background2"/>
            <w:vAlign w:val="bottom"/>
          </w:tcPr>
          <w:p w14:paraId="0E8B3C5B" w14:textId="77777777" w:rsidR="00CD1429" w:rsidRPr="006712D1" w:rsidRDefault="00CD1429" w:rsidP="006712D1">
            <w:pPr>
              <w:jc w:val="center"/>
              <w:rPr>
                <w:b/>
              </w:rPr>
            </w:pPr>
            <w:r w:rsidRPr="006712D1">
              <w:rPr>
                <w:b/>
              </w:rPr>
              <w:t>Maine</w:t>
            </w:r>
          </w:p>
        </w:tc>
        <w:tc>
          <w:tcPr>
            <w:tcW w:w="1710" w:type="dxa"/>
            <w:shd w:val="clear" w:color="auto" w:fill="E7E6E6" w:themeFill="background2"/>
            <w:vAlign w:val="bottom"/>
          </w:tcPr>
          <w:p w14:paraId="0E973485" w14:textId="77777777" w:rsidR="00CD1429" w:rsidRPr="006712D1" w:rsidRDefault="00CD1429" w:rsidP="006712D1">
            <w:pPr>
              <w:jc w:val="center"/>
              <w:rPr>
                <w:b/>
              </w:rPr>
            </w:pPr>
            <w:r w:rsidRPr="006712D1">
              <w:rPr>
                <w:b/>
              </w:rPr>
              <w:t>New England</w:t>
            </w:r>
          </w:p>
        </w:tc>
        <w:tc>
          <w:tcPr>
            <w:tcW w:w="1620" w:type="dxa"/>
            <w:shd w:val="clear" w:color="auto" w:fill="E7E6E6" w:themeFill="background2"/>
            <w:vAlign w:val="bottom"/>
          </w:tcPr>
          <w:p w14:paraId="59C69467" w14:textId="77777777" w:rsidR="00CD1429" w:rsidRPr="006712D1" w:rsidRDefault="00CD1429" w:rsidP="006712D1">
            <w:pPr>
              <w:jc w:val="center"/>
              <w:rPr>
                <w:b/>
              </w:rPr>
            </w:pPr>
            <w:r w:rsidRPr="006712D1">
              <w:rPr>
                <w:b/>
              </w:rPr>
              <w:t>United States</w:t>
            </w:r>
          </w:p>
        </w:tc>
      </w:tr>
      <w:tr w:rsidR="00CD1429" w14:paraId="6C8337B7" w14:textId="77777777" w:rsidTr="0000045B">
        <w:trPr>
          <w:trHeight w:val="287"/>
          <w:jc w:val="center"/>
        </w:trPr>
        <w:tc>
          <w:tcPr>
            <w:tcW w:w="1975" w:type="dxa"/>
            <w:vAlign w:val="center"/>
          </w:tcPr>
          <w:p w14:paraId="2C9220F1" w14:textId="0AD5DE7B" w:rsidR="00CD1429" w:rsidRPr="00AE1572" w:rsidRDefault="00164871" w:rsidP="005967C0">
            <w:r w:rsidRPr="00AE1572">
              <w:t>201</w:t>
            </w:r>
            <w:r w:rsidR="00C07072">
              <w:t>9</w:t>
            </w:r>
          </w:p>
        </w:tc>
        <w:tc>
          <w:tcPr>
            <w:tcW w:w="4230" w:type="dxa"/>
            <w:vAlign w:val="center"/>
          </w:tcPr>
          <w:p w14:paraId="7D06881A" w14:textId="77777777" w:rsidR="00CD1429" w:rsidRPr="00AE1572" w:rsidRDefault="004A4CBD" w:rsidP="002208B4">
            <w:r w:rsidRPr="00AE1572">
              <w:t>Total p</w:t>
            </w:r>
            <w:r w:rsidR="00CD1429" w:rsidRPr="00AE1572">
              <w:t>opulation</w:t>
            </w:r>
          </w:p>
        </w:tc>
        <w:tc>
          <w:tcPr>
            <w:tcW w:w="1170" w:type="dxa"/>
            <w:vAlign w:val="center"/>
          </w:tcPr>
          <w:p w14:paraId="7EA04361" w14:textId="34D830FB" w:rsidR="00CD1429" w:rsidRPr="00AE1572" w:rsidRDefault="006C19A0" w:rsidP="004A4CBD">
            <w:pPr>
              <w:jc w:val="center"/>
            </w:pPr>
            <w:r w:rsidRPr="00AE1572">
              <w:t>1,</w:t>
            </w:r>
            <w:r w:rsidR="00954EF2">
              <w:t>344,212</w:t>
            </w:r>
          </w:p>
        </w:tc>
        <w:tc>
          <w:tcPr>
            <w:tcW w:w="1710" w:type="dxa"/>
            <w:vAlign w:val="center"/>
          </w:tcPr>
          <w:p w14:paraId="6545DCD8" w14:textId="13E60B85" w:rsidR="00CD1429" w:rsidRPr="00AE1572" w:rsidRDefault="00C07072" w:rsidP="004A4CBD">
            <w:pPr>
              <w:jc w:val="center"/>
            </w:pPr>
            <w:r>
              <w:t>14,845,063</w:t>
            </w:r>
          </w:p>
        </w:tc>
        <w:tc>
          <w:tcPr>
            <w:tcW w:w="1620" w:type="dxa"/>
            <w:vAlign w:val="center"/>
          </w:tcPr>
          <w:p w14:paraId="44362701" w14:textId="231A89B6" w:rsidR="00CD1429" w:rsidRPr="00AE1572" w:rsidRDefault="00C07072" w:rsidP="004A4CBD">
            <w:pPr>
              <w:jc w:val="center"/>
            </w:pPr>
            <w:r>
              <w:t>328,239,523</w:t>
            </w:r>
          </w:p>
        </w:tc>
      </w:tr>
      <w:tr w:rsidR="00B61181" w14:paraId="006FDE28" w14:textId="77777777" w:rsidTr="0000045B">
        <w:trPr>
          <w:trHeight w:val="287"/>
          <w:jc w:val="center"/>
        </w:trPr>
        <w:tc>
          <w:tcPr>
            <w:tcW w:w="1975" w:type="dxa"/>
            <w:vAlign w:val="center"/>
          </w:tcPr>
          <w:p w14:paraId="2949831E" w14:textId="241A9A91" w:rsidR="00B61181" w:rsidRPr="00AE1572" w:rsidRDefault="00164871" w:rsidP="005967C0">
            <w:r w:rsidRPr="00AE1572">
              <w:t>201</w:t>
            </w:r>
            <w:r w:rsidR="00C07072">
              <w:t>8</w:t>
            </w:r>
            <w:r w:rsidRPr="00AE1572">
              <w:t>-201</w:t>
            </w:r>
            <w:r w:rsidR="00C07072">
              <w:t>9</w:t>
            </w:r>
          </w:p>
        </w:tc>
        <w:tc>
          <w:tcPr>
            <w:tcW w:w="4230" w:type="dxa"/>
            <w:vAlign w:val="center"/>
          </w:tcPr>
          <w:p w14:paraId="0437EF5E" w14:textId="47F23DC6" w:rsidR="00B61181" w:rsidRPr="00AE1572" w:rsidRDefault="00B61181" w:rsidP="002208B4">
            <w:r w:rsidRPr="00AE1572">
              <w:t>Annual population percent change</w:t>
            </w:r>
          </w:p>
        </w:tc>
        <w:tc>
          <w:tcPr>
            <w:tcW w:w="1170" w:type="dxa"/>
            <w:vAlign w:val="center"/>
          </w:tcPr>
          <w:p w14:paraId="70E697FA" w14:textId="2A59B05F" w:rsidR="00B61181" w:rsidRPr="00AE1572" w:rsidRDefault="006C19A0" w:rsidP="004A4CBD">
            <w:pPr>
              <w:jc w:val="center"/>
            </w:pPr>
            <w:r w:rsidRPr="00AE1572">
              <w:t>0.</w:t>
            </w:r>
            <w:r w:rsidR="00C07072">
              <w:t>4</w:t>
            </w:r>
            <w:r w:rsidR="00B70992" w:rsidRPr="00AE1572">
              <w:t>%</w:t>
            </w:r>
          </w:p>
        </w:tc>
        <w:tc>
          <w:tcPr>
            <w:tcW w:w="1710" w:type="dxa"/>
            <w:vAlign w:val="center"/>
          </w:tcPr>
          <w:p w14:paraId="59613FD0" w14:textId="3E03F9B9" w:rsidR="00B61181" w:rsidRPr="00AE1572" w:rsidRDefault="00D54632" w:rsidP="004A4CBD">
            <w:pPr>
              <w:jc w:val="center"/>
            </w:pPr>
            <w:r w:rsidRPr="00AE1572">
              <w:t>0.</w:t>
            </w:r>
            <w:r w:rsidR="00C07072">
              <w:t>1</w:t>
            </w:r>
            <w:r w:rsidR="00B70992" w:rsidRPr="00AE1572">
              <w:t>%</w:t>
            </w:r>
          </w:p>
        </w:tc>
        <w:tc>
          <w:tcPr>
            <w:tcW w:w="1620" w:type="dxa"/>
            <w:vAlign w:val="center"/>
          </w:tcPr>
          <w:p w14:paraId="02DA0148" w14:textId="7BBCF9FB" w:rsidR="00B61181" w:rsidRPr="00AE1572" w:rsidRDefault="006C19A0" w:rsidP="004A4CBD">
            <w:pPr>
              <w:jc w:val="center"/>
            </w:pPr>
            <w:r w:rsidRPr="00AE1572">
              <w:t>0.</w:t>
            </w:r>
            <w:r w:rsidR="00C07072">
              <w:t>5</w:t>
            </w:r>
            <w:r w:rsidR="00B70992" w:rsidRPr="00AE1572">
              <w:t>%</w:t>
            </w:r>
          </w:p>
        </w:tc>
      </w:tr>
      <w:tr w:rsidR="00CD1429" w14:paraId="2A232FB5" w14:textId="77777777" w:rsidTr="0000045B">
        <w:trPr>
          <w:trHeight w:val="323"/>
          <w:jc w:val="center"/>
        </w:trPr>
        <w:tc>
          <w:tcPr>
            <w:tcW w:w="1975" w:type="dxa"/>
            <w:vAlign w:val="center"/>
          </w:tcPr>
          <w:p w14:paraId="00FD45F8" w14:textId="69344FC3" w:rsidR="00CD1429" w:rsidRPr="00AE1572" w:rsidRDefault="004A4CBD" w:rsidP="005967C0">
            <w:r w:rsidRPr="00AE1572">
              <w:t>2010-</w:t>
            </w:r>
            <w:r w:rsidR="00164871" w:rsidRPr="00AE1572">
              <w:t>201</w:t>
            </w:r>
            <w:r w:rsidR="00C07072">
              <w:t>9</w:t>
            </w:r>
          </w:p>
        </w:tc>
        <w:tc>
          <w:tcPr>
            <w:tcW w:w="4230" w:type="dxa"/>
            <w:vAlign w:val="center"/>
          </w:tcPr>
          <w:p w14:paraId="0F71F085" w14:textId="77777777" w:rsidR="00CD1429" w:rsidRPr="00AE1572" w:rsidRDefault="00CD1429" w:rsidP="002208B4">
            <w:r w:rsidRPr="00AE1572">
              <w:t xml:space="preserve">Cumulative </w:t>
            </w:r>
            <w:r w:rsidR="004A4CBD" w:rsidRPr="00AE1572">
              <w:t>population p</w:t>
            </w:r>
            <w:r w:rsidR="00FA3F1E" w:rsidRPr="00AE1572">
              <w:t xml:space="preserve">ercent </w:t>
            </w:r>
            <w:r w:rsidR="004A4CBD" w:rsidRPr="00AE1572">
              <w:t>change</w:t>
            </w:r>
          </w:p>
        </w:tc>
        <w:tc>
          <w:tcPr>
            <w:tcW w:w="1170" w:type="dxa"/>
            <w:vAlign w:val="center"/>
          </w:tcPr>
          <w:p w14:paraId="2124E55A" w14:textId="10EF2780" w:rsidR="00CD1429" w:rsidRPr="00AE1572" w:rsidRDefault="00C07072" w:rsidP="004A4CBD">
            <w:pPr>
              <w:jc w:val="center"/>
            </w:pPr>
            <w:r>
              <w:t>1.2</w:t>
            </w:r>
            <w:r w:rsidR="00CD1429" w:rsidRPr="00AE1572">
              <w:t>%</w:t>
            </w:r>
          </w:p>
        </w:tc>
        <w:tc>
          <w:tcPr>
            <w:tcW w:w="1710" w:type="dxa"/>
            <w:vAlign w:val="center"/>
          </w:tcPr>
          <w:p w14:paraId="1F7F742B" w14:textId="7AD98CF0" w:rsidR="00CD1429" w:rsidRPr="00AE1572" w:rsidRDefault="00CD1429" w:rsidP="004A4CBD">
            <w:pPr>
              <w:jc w:val="center"/>
            </w:pPr>
            <w:r w:rsidRPr="00AE1572">
              <w:t>2.</w:t>
            </w:r>
            <w:r w:rsidR="00C07072">
              <w:t>8</w:t>
            </w:r>
            <w:r w:rsidRPr="00AE1572">
              <w:t>%</w:t>
            </w:r>
          </w:p>
        </w:tc>
        <w:tc>
          <w:tcPr>
            <w:tcW w:w="1620" w:type="dxa"/>
            <w:vAlign w:val="center"/>
          </w:tcPr>
          <w:p w14:paraId="779855DE" w14:textId="27B1CDFE" w:rsidR="00CD1429" w:rsidRPr="00AE1572" w:rsidRDefault="006C19A0" w:rsidP="004A4CBD">
            <w:pPr>
              <w:jc w:val="center"/>
            </w:pPr>
            <w:r w:rsidRPr="00AE1572">
              <w:t>6.</w:t>
            </w:r>
            <w:r w:rsidR="00C07072">
              <w:t>3</w:t>
            </w:r>
            <w:r w:rsidR="00CD1429" w:rsidRPr="00AE1572">
              <w:t>%</w:t>
            </w:r>
          </w:p>
        </w:tc>
      </w:tr>
      <w:tr w:rsidR="00CD1429" w14:paraId="63796B80" w14:textId="77777777" w:rsidTr="0000045B">
        <w:trPr>
          <w:trHeight w:val="284"/>
          <w:jc w:val="center"/>
        </w:trPr>
        <w:tc>
          <w:tcPr>
            <w:tcW w:w="1975" w:type="dxa"/>
            <w:vAlign w:val="center"/>
          </w:tcPr>
          <w:p w14:paraId="22E9ECFA" w14:textId="54109B67" w:rsidR="00CD1429" w:rsidRPr="002C38FC" w:rsidRDefault="001838C4" w:rsidP="005967C0">
            <w:r w:rsidRPr="002C38FC">
              <w:t>201</w:t>
            </w:r>
            <w:r w:rsidR="00131785">
              <w:t>9</w:t>
            </w:r>
          </w:p>
        </w:tc>
        <w:tc>
          <w:tcPr>
            <w:tcW w:w="4230" w:type="dxa"/>
            <w:vAlign w:val="center"/>
          </w:tcPr>
          <w:p w14:paraId="0334EB78" w14:textId="77777777" w:rsidR="00CD1429" w:rsidRPr="002C38FC" w:rsidRDefault="00CD1429" w:rsidP="002208B4">
            <w:r w:rsidRPr="002C38FC">
              <w:t>Average earning</w:t>
            </w:r>
            <w:r w:rsidR="004A4CBD" w:rsidRPr="002C38FC">
              <w:t>s</w:t>
            </w:r>
            <w:r w:rsidRPr="002C38FC">
              <w:t xml:space="preserve"> per job</w:t>
            </w:r>
          </w:p>
        </w:tc>
        <w:tc>
          <w:tcPr>
            <w:tcW w:w="1170" w:type="dxa"/>
            <w:vAlign w:val="center"/>
          </w:tcPr>
          <w:p w14:paraId="203A1A5C" w14:textId="0BA5C12E" w:rsidR="00CD1429" w:rsidRPr="002C38FC" w:rsidRDefault="004A4CBD" w:rsidP="004A4CBD">
            <w:pPr>
              <w:jc w:val="center"/>
            </w:pPr>
            <w:r w:rsidRPr="002C38FC">
              <w:t>$</w:t>
            </w:r>
            <w:r w:rsidR="00131785">
              <w:t>51,980</w:t>
            </w:r>
          </w:p>
        </w:tc>
        <w:tc>
          <w:tcPr>
            <w:tcW w:w="1710" w:type="dxa"/>
            <w:vAlign w:val="center"/>
          </w:tcPr>
          <w:p w14:paraId="70120500" w14:textId="03E325FA" w:rsidR="00CD1429" w:rsidRPr="002C38FC" w:rsidRDefault="004A4CBD" w:rsidP="004A4CBD">
            <w:pPr>
              <w:jc w:val="center"/>
            </w:pPr>
            <w:r w:rsidRPr="002C38FC">
              <w:t>$</w:t>
            </w:r>
            <w:r w:rsidR="00131785">
              <w:t>71,826</w:t>
            </w:r>
          </w:p>
        </w:tc>
        <w:tc>
          <w:tcPr>
            <w:tcW w:w="1620" w:type="dxa"/>
            <w:vAlign w:val="center"/>
          </w:tcPr>
          <w:p w14:paraId="7E56D013" w14:textId="71FF5794" w:rsidR="00CD1429" w:rsidRPr="002C38FC" w:rsidRDefault="004A4CBD" w:rsidP="004A4CBD">
            <w:pPr>
              <w:jc w:val="center"/>
            </w:pPr>
            <w:r w:rsidRPr="002C38FC">
              <w:t>$</w:t>
            </w:r>
            <w:r w:rsidR="00131785">
              <w:t>64,180</w:t>
            </w:r>
          </w:p>
        </w:tc>
      </w:tr>
      <w:tr w:rsidR="00B61181" w14:paraId="08364989" w14:textId="77777777" w:rsidTr="0000045B">
        <w:trPr>
          <w:trHeight w:val="284"/>
          <w:jc w:val="center"/>
        </w:trPr>
        <w:tc>
          <w:tcPr>
            <w:tcW w:w="1975" w:type="dxa"/>
            <w:vAlign w:val="center"/>
          </w:tcPr>
          <w:p w14:paraId="6F10E933" w14:textId="6E1A606C" w:rsidR="00B61181" w:rsidRPr="002C38FC" w:rsidRDefault="00131785" w:rsidP="005967C0">
            <w:r>
              <w:t>2018-2019</w:t>
            </w:r>
          </w:p>
        </w:tc>
        <w:tc>
          <w:tcPr>
            <w:tcW w:w="4230" w:type="dxa"/>
            <w:vAlign w:val="center"/>
          </w:tcPr>
          <w:p w14:paraId="76CF46A8" w14:textId="7E8995CA" w:rsidR="00B61181" w:rsidRPr="002C38FC" w:rsidRDefault="00B61181" w:rsidP="002208B4">
            <w:r w:rsidRPr="002C38FC">
              <w:t xml:space="preserve">Average earnings per job </w:t>
            </w:r>
            <w:r w:rsidR="00E36597" w:rsidRPr="002C38FC">
              <w:t>percent change</w:t>
            </w:r>
          </w:p>
        </w:tc>
        <w:tc>
          <w:tcPr>
            <w:tcW w:w="1170" w:type="dxa"/>
            <w:vAlign w:val="center"/>
          </w:tcPr>
          <w:p w14:paraId="08D68210" w14:textId="6AB037FF" w:rsidR="00B61181" w:rsidRPr="002C38FC" w:rsidRDefault="00131785" w:rsidP="004A4CBD">
            <w:pPr>
              <w:jc w:val="center"/>
            </w:pPr>
            <w:r>
              <w:t>3.6</w:t>
            </w:r>
            <w:r w:rsidR="006B4F0E" w:rsidRPr="002C38FC">
              <w:t>%</w:t>
            </w:r>
          </w:p>
        </w:tc>
        <w:tc>
          <w:tcPr>
            <w:tcW w:w="1710" w:type="dxa"/>
            <w:vAlign w:val="center"/>
          </w:tcPr>
          <w:p w14:paraId="28484A00" w14:textId="20450788" w:rsidR="00B61181" w:rsidRPr="002C38FC" w:rsidRDefault="00131785" w:rsidP="004A4CBD">
            <w:pPr>
              <w:jc w:val="center"/>
            </w:pPr>
            <w:r>
              <w:t>2.7</w:t>
            </w:r>
            <w:r w:rsidR="006B4F0E" w:rsidRPr="002C38FC">
              <w:t>%</w:t>
            </w:r>
          </w:p>
        </w:tc>
        <w:tc>
          <w:tcPr>
            <w:tcW w:w="1620" w:type="dxa"/>
            <w:vAlign w:val="center"/>
          </w:tcPr>
          <w:p w14:paraId="784B9F97" w14:textId="637A70B5" w:rsidR="00B61181" w:rsidRPr="002C38FC" w:rsidRDefault="00131785" w:rsidP="004A4CBD">
            <w:pPr>
              <w:jc w:val="center"/>
            </w:pPr>
            <w:r>
              <w:t>2.6</w:t>
            </w:r>
            <w:r w:rsidR="00B549F1" w:rsidRPr="002C38FC">
              <w:t>%</w:t>
            </w:r>
          </w:p>
        </w:tc>
      </w:tr>
      <w:tr w:rsidR="00CD1429" w14:paraId="37DF7F77" w14:textId="77777777" w:rsidTr="0000045B">
        <w:trPr>
          <w:trHeight w:val="287"/>
          <w:jc w:val="center"/>
        </w:trPr>
        <w:tc>
          <w:tcPr>
            <w:tcW w:w="1975" w:type="dxa"/>
            <w:shd w:val="clear" w:color="auto" w:fill="auto"/>
            <w:vAlign w:val="center"/>
          </w:tcPr>
          <w:p w14:paraId="441DFE6B" w14:textId="1A189E78" w:rsidR="00CD1429" w:rsidRPr="00D74FDE" w:rsidRDefault="00F00C7D" w:rsidP="005967C0">
            <w:pPr>
              <w:rPr>
                <w:color w:val="auto"/>
              </w:rPr>
            </w:pPr>
            <w:r>
              <w:rPr>
                <w:color w:val="auto"/>
              </w:rPr>
              <w:t xml:space="preserve">September </w:t>
            </w:r>
            <w:r w:rsidR="00247345" w:rsidRPr="00D74FDE">
              <w:rPr>
                <w:color w:val="auto"/>
              </w:rPr>
              <w:t>20</w:t>
            </w:r>
            <w:r w:rsidR="004A7EF8" w:rsidRPr="00D74FDE">
              <w:rPr>
                <w:color w:val="auto"/>
              </w:rPr>
              <w:t>20</w:t>
            </w:r>
          </w:p>
        </w:tc>
        <w:tc>
          <w:tcPr>
            <w:tcW w:w="4230" w:type="dxa"/>
            <w:shd w:val="clear" w:color="auto" w:fill="auto"/>
            <w:vAlign w:val="center"/>
          </w:tcPr>
          <w:p w14:paraId="5EBAD181" w14:textId="7C7C8C03" w:rsidR="00CD1429" w:rsidRPr="00D74FDE" w:rsidRDefault="004A4CBD" w:rsidP="002208B4">
            <w:pPr>
              <w:rPr>
                <w:color w:val="auto"/>
              </w:rPr>
            </w:pPr>
            <w:r w:rsidRPr="00D74FDE">
              <w:rPr>
                <w:color w:val="auto"/>
              </w:rPr>
              <w:t>Unemployment r</w:t>
            </w:r>
            <w:r w:rsidR="00CD1429" w:rsidRPr="00D74FDE">
              <w:rPr>
                <w:color w:val="auto"/>
              </w:rPr>
              <w:t>ate</w:t>
            </w:r>
            <w:r w:rsidR="006D7E84" w:rsidRPr="00D74FDE">
              <w:rPr>
                <w:color w:val="auto"/>
              </w:rPr>
              <w:t xml:space="preserve"> </w:t>
            </w:r>
          </w:p>
        </w:tc>
        <w:tc>
          <w:tcPr>
            <w:tcW w:w="1170" w:type="dxa"/>
            <w:shd w:val="clear" w:color="auto" w:fill="auto"/>
            <w:vAlign w:val="center"/>
          </w:tcPr>
          <w:p w14:paraId="400436C0" w14:textId="1BDE0B79" w:rsidR="00CD1429" w:rsidRPr="00D74FDE" w:rsidRDefault="00696FB6" w:rsidP="004A4CBD">
            <w:pPr>
              <w:jc w:val="center"/>
              <w:rPr>
                <w:color w:val="auto"/>
              </w:rPr>
            </w:pPr>
            <w:r w:rsidRPr="00D74FDE">
              <w:rPr>
                <w:color w:val="auto"/>
              </w:rPr>
              <w:t>6.</w:t>
            </w:r>
            <w:r w:rsidR="00D74FDE" w:rsidRPr="00D74FDE">
              <w:rPr>
                <w:color w:val="auto"/>
              </w:rPr>
              <w:t>1</w:t>
            </w:r>
            <w:r w:rsidR="00E96748" w:rsidRPr="00D74FDE">
              <w:rPr>
                <w:color w:val="auto"/>
              </w:rPr>
              <w:t>%</w:t>
            </w:r>
          </w:p>
        </w:tc>
        <w:tc>
          <w:tcPr>
            <w:tcW w:w="1710" w:type="dxa"/>
            <w:shd w:val="clear" w:color="auto" w:fill="auto"/>
            <w:vAlign w:val="center"/>
          </w:tcPr>
          <w:p w14:paraId="7CB54B5F" w14:textId="6FC4F7DE" w:rsidR="008223FE" w:rsidRPr="00D74FDE" w:rsidRDefault="00D74FDE" w:rsidP="008223FE">
            <w:pPr>
              <w:jc w:val="center"/>
              <w:rPr>
                <w:color w:val="auto"/>
              </w:rPr>
            </w:pPr>
            <w:r w:rsidRPr="00D74FDE">
              <w:rPr>
                <w:color w:val="auto"/>
              </w:rPr>
              <w:t>8.4</w:t>
            </w:r>
            <w:r w:rsidR="008A5BD2" w:rsidRPr="00D74FDE">
              <w:rPr>
                <w:color w:val="auto"/>
              </w:rPr>
              <w:t>%</w:t>
            </w:r>
          </w:p>
        </w:tc>
        <w:tc>
          <w:tcPr>
            <w:tcW w:w="1620" w:type="dxa"/>
            <w:shd w:val="clear" w:color="auto" w:fill="auto"/>
            <w:vAlign w:val="center"/>
          </w:tcPr>
          <w:p w14:paraId="521983BB" w14:textId="44ADC1A9" w:rsidR="00CD1429" w:rsidRPr="00D74FDE" w:rsidRDefault="00D74FDE" w:rsidP="004A4CBD">
            <w:pPr>
              <w:jc w:val="center"/>
              <w:rPr>
                <w:color w:val="auto"/>
              </w:rPr>
            </w:pPr>
            <w:r w:rsidRPr="00D74FDE">
              <w:rPr>
                <w:color w:val="auto"/>
              </w:rPr>
              <w:t>7.9</w:t>
            </w:r>
            <w:r w:rsidR="00E96748" w:rsidRPr="00D74FDE">
              <w:rPr>
                <w:color w:val="auto"/>
              </w:rPr>
              <w:t>%</w:t>
            </w:r>
          </w:p>
        </w:tc>
      </w:tr>
      <w:tr w:rsidR="00CD1429" w14:paraId="736B93A5" w14:textId="77777777" w:rsidTr="008223FE">
        <w:trPr>
          <w:trHeight w:val="269"/>
          <w:jc w:val="center"/>
        </w:trPr>
        <w:tc>
          <w:tcPr>
            <w:tcW w:w="1975" w:type="dxa"/>
            <w:shd w:val="clear" w:color="auto" w:fill="auto"/>
            <w:vAlign w:val="center"/>
          </w:tcPr>
          <w:p w14:paraId="1429CC9A" w14:textId="3E0B1062" w:rsidR="00CD1429" w:rsidRPr="00D74FDE" w:rsidRDefault="00F00C7D" w:rsidP="005967C0">
            <w:pPr>
              <w:rPr>
                <w:color w:val="auto"/>
              </w:rPr>
            </w:pPr>
            <w:r>
              <w:rPr>
                <w:color w:val="auto"/>
              </w:rPr>
              <w:t>September</w:t>
            </w:r>
            <w:r w:rsidR="000C5677" w:rsidRPr="00D74FDE">
              <w:rPr>
                <w:color w:val="auto"/>
              </w:rPr>
              <w:t xml:space="preserve"> </w:t>
            </w:r>
            <w:r w:rsidR="004A7EF8" w:rsidRPr="00D74FDE">
              <w:rPr>
                <w:color w:val="auto"/>
              </w:rPr>
              <w:t>2020</w:t>
            </w:r>
          </w:p>
        </w:tc>
        <w:tc>
          <w:tcPr>
            <w:tcW w:w="4230" w:type="dxa"/>
            <w:shd w:val="clear" w:color="auto" w:fill="auto"/>
            <w:vAlign w:val="center"/>
          </w:tcPr>
          <w:p w14:paraId="229AF7A7" w14:textId="00CBB8A8" w:rsidR="00CD1429" w:rsidRPr="00D74FDE" w:rsidRDefault="004A4CBD" w:rsidP="002208B4">
            <w:pPr>
              <w:rPr>
                <w:color w:val="auto"/>
              </w:rPr>
            </w:pPr>
            <w:r w:rsidRPr="00D74FDE">
              <w:rPr>
                <w:color w:val="auto"/>
              </w:rPr>
              <w:t>Total p</w:t>
            </w:r>
            <w:r w:rsidR="00CD1429" w:rsidRPr="00D74FDE">
              <w:rPr>
                <w:color w:val="auto"/>
              </w:rPr>
              <w:t xml:space="preserve">rivate nonfarm employment </w:t>
            </w:r>
          </w:p>
        </w:tc>
        <w:tc>
          <w:tcPr>
            <w:tcW w:w="1170" w:type="dxa"/>
            <w:shd w:val="clear" w:color="auto" w:fill="auto"/>
            <w:vAlign w:val="center"/>
          </w:tcPr>
          <w:p w14:paraId="2E1B94FD" w14:textId="4E28E612" w:rsidR="00CD1429" w:rsidRPr="00D74FDE" w:rsidRDefault="00D74FDE" w:rsidP="004A4CBD">
            <w:pPr>
              <w:jc w:val="center"/>
              <w:rPr>
                <w:color w:val="auto"/>
              </w:rPr>
            </w:pPr>
            <w:r w:rsidRPr="00D74FDE">
              <w:rPr>
                <w:color w:val="auto"/>
              </w:rPr>
              <w:t>491,200</w:t>
            </w:r>
          </w:p>
        </w:tc>
        <w:tc>
          <w:tcPr>
            <w:tcW w:w="1710" w:type="dxa"/>
            <w:shd w:val="clear" w:color="auto" w:fill="auto"/>
            <w:vAlign w:val="center"/>
          </w:tcPr>
          <w:p w14:paraId="732F8726" w14:textId="43E1B0F1" w:rsidR="00CD1429" w:rsidRPr="00D74FDE" w:rsidRDefault="000C5677" w:rsidP="004A4CBD">
            <w:pPr>
              <w:jc w:val="center"/>
              <w:rPr>
                <w:color w:val="auto"/>
              </w:rPr>
            </w:pPr>
            <w:r w:rsidRPr="00D74FDE">
              <w:rPr>
                <w:color w:val="auto"/>
              </w:rPr>
              <w:t>5,</w:t>
            </w:r>
            <w:r w:rsidR="00D74FDE" w:rsidRPr="00D74FDE">
              <w:rPr>
                <w:color w:val="auto"/>
              </w:rPr>
              <w:t>940</w:t>
            </w:r>
            <w:r w:rsidR="00E96748" w:rsidRPr="00D74FDE">
              <w:rPr>
                <w:color w:val="auto"/>
              </w:rPr>
              <w:t>,</w:t>
            </w:r>
            <w:r w:rsidR="005228FE" w:rsidRPr="00D74FDE">
              <w:rPr>
                <w:color w:val="auto"/>
              </w:rPr>
              <w:t>2</w:t>
            </w:r>
            <w:r w:rsidR="00E96748" w:rsidRPr="00D74FDE">
              <w:rPr>
                <w:color w:val="auto"/>
              </w:rPr>
              <w:t>00</w:t>
            </w:r>
          </w:p>
        </w:tc>
        <w:tc>
          <w:tcPr>
            <w:tcW w:w="1620" w:type="dxa"/>
            <w:shd w:val="clear" w:color="auto" w:fill="auto"/>
            <w:vAlign w:val="center"/>
          </w:tcPr>
          <w:p w14:paraId="0160A376" w14:textId="1A46CD23" w:rsidR="00CD1429" w:rsidRPr="00D74FDE" w:rsidRDefault="000C5677" w:rsidP="004A4CBD">
            <w:pPr>
              <w:jc w:val="center"/>
              <w:rPr>
                <w:color w:val="auto"/>
              </w:rPr>
            </w:pPr>
            <w:r w:rsidRPr="00D74FDE">
              <w:rPr>
                <w:color w:val="auto"/>
              </w:rPr>
              <w:t>1</w:t>
            </w:r>
            <w:r w:rsidR="005F7F87" w:rsidRPr="00D74FDE">
              <w:rPr>
                <w:color w:val="auto"/>
              </w:rPr>
              <w:t>1</w:t>
            </w:r>
            <w:r w:rsidR="00450D32" w:rsidRPr="00D74FDE">
              <w:rPr>
                <w:color w:val="auto"/>
              </w:rPr>
              <w:t>9</w:t>
            </w:r>
            <w:r w:rsidR="00E96748" w:rsidRPr="00D74FDE">
              <w:rPr>
                <w:color w:val="auto"/>
              </w:rPr>
              <w:t>,</w:t>
            </w:r>
            <w:r w:rsidR="00D74FDE" w:rsidRPr="00D74FDE">
              <w:rPr>
                <w:color w:val="auto"/>
              </w:rPr>
              <w:t>917</w:t>
            </w:r>
            <w:r w:rsidR="00E96748" w:rsidRPr="00D74FDE">
              <w:rPr>
                <w:color w:val="auto"/>
              </w:rPr>
              <w:t>,000</w:t>
            </w:r>
          </w:p>
        </w:tc>
      </w:tr>
      <w:tr w:rsidR="008223FE" w14:paraId="2FE035CA" w14:textId="77777777" w:rsidTr="008223FE">
        <w:trPr>
          <w:trHeight w:val="251"/>
          <w:jc w:val="center"/>
        </w:trPr>
        <w:tc>
          <w:tcPr>
            <w:tcW w:w="1975" w:type="dxa"/>
            <w:shd w:val="clear" w:color="auto" w:fill="auto"/>
            <w:vAlign w:val="center"/>
          </w:tcPr>
          <w:p w14:paraId="00935F2E" w14:textId="52FC3F64" w:rsidR="008223FE" w:rsidRPr="00D74FDE" w:rsidRDefault="00F00C7D" w:rsidP="005967C0">
            <w:pPr>
              <w:rPr>
                <w:color w:val="auto"/>
              </w:rPr>
            </w:pPr>
            <w:r>
              <w:rPr>
                <w:color w:val="auto"/>
              </w:rPr>
              <w:t>September</w:t>
            </w:r>
            <w:r w:rsidR="008223FE" w:rsidRPr="00D74FDE">
              <w:rPr>
                <w:color w:val="auto"/>
              </w:rPr>
              <w:t xml:space="preserve"> 2020</w:t>
            </w:r>
          </w:p>
        </w:tc>
        <w:tc>
          <w:tcPr>
            <w:tcW w:w="4230" w:type="dxa"/>
            <w:shd w:val="clear" w:color="auto" w:fill="auto"/>
            <w:vAlign w:val="center"/>
          </w:tcPr>
          <w:p w14:paraId="30B723E1" w14:textId="10A3E4EA" w:rsidR="008223FE" w:rsidRPr="00D74FDE" w:rsidRDefault="008223FE" w:rsidP="002208B4">
            <w:pPr>
              <w:rPr>
                <w:color w:val="auto"/>
              </w:rPr>
            </w:pPr>
            <w:r w:rsidRPr="00D74FDE">
              <w:rPr>
                <w:color w:val="auto"/>
              </w:rPr>
              <w:t>Labor Force</w:t>
            </w:r>
          </w:p>
        </w:tc>
        <w:tc>
          <w:tcPr>
            <w:tcW w:w="1170" w:type="dxa"/>
            <w:shd w:val="clear" w:color="auto" w:fill="auto"/>
            <w:vAlign w:val="center"/>
          </w:tcPr>
          <w:p w14:paraId="7CE8431B" w14:textId="16905E67" w:rsidR="008223FE" w:rsidRPr="00D74FDE" w:rsidRDefault="00D74FDE" w:rsidP="004A4CBD">
            <w:pPr>
              <w:jc w:val="center"/>
              <w:rPr>
                <w:color w:val="auto"/>
              </w:rPr>
            </w:pPr>
            <w:r w:rsidRPr="00D74FDE">
              <w:rPr>
                <w:color w:val="auto"/>
              </w:rPr>
              <w:t>681,209</w:t>
            </w:r>
          </w:p>
        </w:tc>
        <w:tc>
          <w:tcPr>
            <w:tcW w:w="1710" w:type="dxa"/>
            <w:shd w:val="clear" w:color="auto" w:fill="auto"/>
            <w:vAlign w:val="center"/>
          </w:tcPr>
          <w:p w14:paraId="75635C60" w14:textId="11F29781" w:rsidR="008223FE" w:rsidRPr="00D74FDE" w:rsidRDefault="005F7F87" w:rsidP="004A4CBD">
            <w:pPr>
              <w:jc w:val="center"/>
              <w:rPr>
                <w:color w:val="auto"/>
              </w:rPr>
            </w:pPr>
            <w:r w:rsidRPr="00D74FDE">
              <w:rPr>
                <w:color w:val="auto"/>
              </w:rPr>
              <w:t>7</w:t>
            </w:r>
            <w:r w:rsidR="00450D32" w:rsidRPr="00D74FDE">
              <w:rPr>
                <w:color w:val="auto"/>
              </w:rPr>
              <w:t>,</w:t>
            </w:r>
            <w:r w:rsidR="00D74FDE" w:rsidRPr="00D74FDE">
              <w:rPr>
                <w:color w:val="auto"/>
              </w:rPr>
              <w:t>991,946</w:t>
            </w:r>
          </w:p>
        </w:tc>
        <w:tc>
          <w:tcPr>
            <w:tcW w:w="1620" w:type="dxa"/>
            <w:shd w:val="clear" w:color="auto" w:fill="auto"/>
            <w:vAlign w:val="center"/>
          </w:tcPr>
          <w:p w14:paraId="7FDBD751" w14:textId="7B6181AA" w:rsidR="008223FE" w:rsidRPr="00D74FDE" w:rsidRDefault="00E96748" w:rsidP="004A4CBD">
            <w:pPr>
              <w:jc w:val="center"/>
              <w:rPr>
                <w:color w:val="auto"/>
              </w:rPr>
            </w:pPr>
            <w:r w:rsidRPr="00D74FDE">
              <w:rPr>
                <w:color w:val="auto"/>
              </w:rPr>
              <w:t>1</w:t>
            </w:r>
            <w:r w:rsidR="00450D32" w:rsidRPr="00D74FDE">
              <w:rPr>
                <w:color w:val="auto"/>
              </w:rPr>
              <w:t>60</w:t>
            </w:r>
            <w:r w:rsidRPr="00D74FDE">
              <w:rPr>
                <w:color w:val="auto"/>
              </w:rPr>
              <w:t>,</w:t>
            </w:r>
            <w:r w:rsidR="00D74FDE" w:rsidRPr="00D74FDE">
              <w:rPr>
                <w:color w:val="auto"/>
              </w:rPr>
              <w:t>143</w:t>
            </w:r>
            <w:r w:rsidRPr="00D74FDE">
              <w:rPr>
                <w:color w:val="auto"/>
              </w:rPr>
              <w:t>,000</w:t>
            </w:r>
          </w:p>
        </w:tc>
      </w:tr>
      <w:tr w:rsidR="008223FE" w14:paraId="48EB21A0" w14:textId="77777777" w:rsidTr="008223FE">
        <w:trPr>
          <w:trHeight w:val="251"/>
          <w:jc w:val="center"/>
        </w:trPr>
        <w:tc>
          <w:tcPr>
            <w:tcW w:w="1975" w:type="dxa"/>
            <w:shd w:val="clear" w:color="auto" w:fill="auto"/>
            <w:vAlign w:val="center"/>
          </w:tcPr>
          <w:p w14:paraId="36A765D3" w14:textId="58D4197B" w:rsidR="008223FE" w:rsidRPr="00D74FDE" w:rsidRDefault="00F00C7D" w:rsidP="005967C0">
            <w:pPr>
              <w:rPr>
                <w:color w:val="auto"/>
              </w:rPr>
            </w:pPr>
            <w:r>
              <w:rPr>
                <w:color w:val="auto"/>
              </w:rPr>
              <w:t>September</w:t>
            </w:r>
            <w:r w:rsidR="008223FE" w:rsidRPr="00D74FDE">
              <w:rPr>
                <w:color w:val="auto"/>
              </w:rPr>
              <w:t xml:space="preserve"> 2020</w:t>
            </w:r>
          </w:p>
        </w:tc>
        <w:tc>
          <w:tcPr>
            <w:tcW w:w="4230" w:type="dxa"/>
            <w:shd w:val="clear" w:color="auto" w:fill="auto"/>
            <w:vAlign w:val="center"/>
          </w:tcPr>
          <w:p w14:paraId="4EFA2A51" w14:textId="4DE94652" w:rsidR="008223FE" w:rsidRPr="00D74FDE" w:rsidRDefault="008223FE" w:rsidP="002208B4">
            <w:pPr>
              <w:rPr>
                <w:color w:val="auto"/>
              </w:rPr>
            </w:pPr>
            <w:r w:rsidRPr="00D74FDE">
              <w:rPr>
                <w:color w:val="auto"/>
              </w:rPr>
              <w:t>Labor Force Participation Rate</w:t>
            </w:r>
          </w:p>
        </w:tc>
        <w:tc>
          <w:tcPr>
            <w:tcW w:w="1170" w:type="dxa"/>
            <w:shd w:val="clear" w:color="auto" w:fill="auto"/>
            <w:vAlign w:val="center"/>
          </w:tcPr>
          <w:p w14:paraId="6E363705" w14:textId="10D4106D" w:rsidR="008223FE" w:rsidRPr="00D74FDE" w:rsidRDefault="00E96748" w:rsidP="004A4CBD">
            <w:pPr>
              <w:jc w:val="center"/>
              <w:rPr>
                <w:color w:val="auto"/>
              </w:rPr>
            </w:pPr>
            <w:r w:rsidRPr="00D74FDE">
              <w:rPr>
                <w:color w:val="auto"/>
              </w:rPr>
              <w:t>6</w:t>
            </w:r>
            <w:r w:rsidR="00450D32" w:rsidRPr="00D74FDE">
              <w:rPr>
                <w:color w:val="auto"/>
              </w:rPr>
              <w:t>0.</w:t>
            </w:r>
            <w:r w:rsidR="00D74FDE" w:rsidRPr="00D74FDE">
              <w:rPr>
                <w:color w:val="auto"/>
              </w:rPr>
              <w:t>9</w:t>
            </w:r>
            <w:r w:rsidRPr="00D74FDE">
              <w:rPr>
                <w:color w:val="auto"/>
              </w:rPr>
              <w:t>%</w:t>
            </w:r>
          </w:p>
        </w:tc>
        <w:tc>
          <w:tcPr>
            <w:tcW w:w="1710" w:type="dxa"/>
            <w:shd w:val="clear" w:color="auto" w:fill="auto"/>
            <w:vAlign w:val="center"/>
          </w:tcPr>
          <w:p w14:paraId="30E9B39A" w14:textId="3D9E02F0" w:rsidR="008223FE" w:rsidRPr="00D74FDE" w:rsidRDefault="008223FE" w:rsidP="004A4CBD">
            <w:pPr>
              <w:jc w:val="center"/>
              <w:rPr>
                <w:color w:val="auto"/>
              </w:rPr>
            </w:pPr>
            <w:r w:rsidRPr="00D74FDE">
              <w:rPr>
                <w:color w:val="auto"/>
              </w:rPr>
              <w:t>N/A</w:t>
            </w:r>
          </w:p>
        </w:tc>
        <w:tc>
          <w:tcPr>
            <w:tcW w:w="1620" w:type="dxa"/>
            <w:shd w:val="clear" w:color="auto" w:fill="auto"/>
            <w:vAlign w:val="center"/>
          </w:tcPr>
          <w:p w14:paraId="109BED4B" w14:textId="54947C97" w:rsidR="008223FE" w:rsidRPr="00D74FDE" w:rsidRDefault="00E96748" w:rsidP="004A4CBD">
            <w:pPr>
              <w:jc w:val="center"/>
              <w:rPr>
                <w:color w:val="auto"/>
              </w:rPr>
            </w:pPr>
            <w:r w:rsidRPr="00D74FDE">
              <w:rPr>
                <w:color w:val="auto"/>
              </w:rPr>
              <w:t>61.</w:t>
            </w:r>
            <w:r w:rsidR="00D74FDE" w:rsidRPr="00D74FDE">
              <w:rPr>
                <w:color w:val="auto"/>
              </w:rPr>
              <w:t>4</w:t>
            </w:r>
            <w:r w:rsidRPr="00D74FDE">
              <w:rPr>
                <w:color w:val="auto"/>
              </w:rPr>
              <w:t>%</w:t>
            </w:r>
          </w:p>
        </w:tc>
      </w:tr>
      <w:bookmarkEnd w:id="1"/>
    </w:tbl>
    <w:p w14:paraId="47858690" w14:textId="77777777" w:rsidR="00E96748" w:rsidRDefault="00E96748">
      <w:pPr>
        <w:rPr>
          <w:b/>
        </w:rPr>
      </w:pPr>
    </w:p>
    <w:p w14:paraId="494686D1" w14:textId="427CC45A" w:rsidR="004B4100" w:rsidRDefault="009F1A3A">
      <w:pPr>
        <w:rPr>
          <w:b/>
        </w:rPr>
      </w:pPr>
      <w:r>
        <w:rPr>
          <w:b/>
        </w:rPr>
        <w:t xml:space="preserve">Annualized </w:t>
      </w:r>
      <w:r w:rsidR="004B4100" w:rsidRPr="00A70271">
        <w:rPr>
          <w:b/>
        </w:rPr>
        <w:t>Percent Change from the previous quarter</w:t>
      </w:r>
      <w:r w:rsidR="00B64136">
        <w:rPr>
          <w:b/>
        </w:rPr>
        <w:t xml:space="preserve"> and Compound Annual Growth Rate (CAGR) </w:t>
      </w:r>
    </w:p>
    <w:tbl>
      <w:tblPr>
        <w:tblStyle w:val="TableGrid"/>
        <w:tblW w:w="9085" w:type="dxa"/>
        <w:jc w:val="center"/>
        <w:tblLook w:val="04A0" w:firstRow="1" w:lastRow="0" w:firstColumn="1" w:lastColumn="0" w:noHBand="0" w:noVBand="1"/>
      </w:tblPr>
      <w:tblGrid>
        <w:gridCol w:w="3145"/>
        <w:gridCol w:w="1314"/>
        <w:gridCol w:w="1143"/>
        <w:gridCol w:w="1017"/>
        <w:gridCol w:w="1017"/>
        <w:gridCol w:w="1449"/>
      </w:tblGrid>
      <w:tr w:rsidR="00415DE0" w:rsidRPr="004B4100" w14:paraId="5525127E" w14:textId="77777777" w:rsidTr="00C757FD">
        <w:trPr>
          <w:trHeight w:val="294"/>
          <w:jc w:val="center"/>
        </w:trPr>
        <w:tc>
          <w:tcPr>
            <w:tcW w:w="3145" w:type="dxa"/>
            <w:shd w:val="clear" w:color="auto" w:fill="E7E6E6" w:themeFill="background2"/>
            <w:noWrap/>
            <w:vAlign w:val="center"/>
          </w:tcPr>
          <w:p w14:paraId="2B54EFCB" w14:textId="77777777" w:rsidR="00415DE0" w:rsidRPr="00415DE0" w:rsidRDefault="00415DE0" w:rsidP="00415DE0">
            <w:pPr>
              <w:rPr>
                <w:color w:val="auto"/>
              </w:rPr>
            </w:pPr>
            <w:bookmarkStart w:id="2" w:name="_Hlk529950546"/>
            <w:r w:rsidRPr="00415DE0">
              <w:rPr>
                <w:b/>
                <w:color w:val="auto"/>
              </w:rPr>
              <w:t>Real GDP</w:t>
            </w:r>
          </w:p>
        </w:tc>
        <w:tc>
          <w:tcPr>
            <w:tcW w:w="1314" w:type="dxa"/>
            <w:shd w:val="clear" w:color="auto" w:fill="E7E6E6" w:themeFill="background2"/>
            <w:noWrap/>
            <w:vAlign w:val="center"/>
          </w:tcPr>
          <w:p w14:paraId="74801893" w14:textId="13CFA6C8" w:rsidR="00415DE0" w:rsidRPr="00415DE0" w:rsidRDefault="00415DE0" w:rsidP="00415DE0">
            <w:pPr>
              <w:jc w:val="center"/>
              <w:rPr>
                <w:color w:val="auto"/>
              </w:rPr>
            </w:pPr>
            <w:proofErr w:type="gramStart"/>
            <w:r w:rsidRPr="00415DE0">
              <w:rPr>
                <w:color w:val="auto"/>
              </w:rPr>
              <w:t>2019:Q</w:t>
            </w:r>
            <w:proofErr w:type="gramEnd"/>
            <w:r w:rsidRPr="00415DE0">
              <w:rPr>
                <w:color w:val="auto"/>
              </w:rPr>
              <w:t>3</w:t>
            </w:r>
          </w:p>
        </w:tc>
        <w:tc>
          <w:tcPr>
            <w:tcW w:w="1143" w:type="dxa"/>
            <w:shd w:val="clear" w:color="auto" w:fill="E7E6E6" w:themeFill="background2"/>
            <w:noWrap/>
            <w:vAlign w:val="center"/>
          </w:tcPr>
          <w:p w14:paraId="713BA830" w14:textId="0572535D" w:rsidR="00415DE0" w:rsidRPr="00415DE0" w:rsidRDefault="00415DE0" w:rsidP="00415DE0">
            <w:pPr>
              <w:jc w:val="center"/>
              <w:rPr>
                <w:color w:val="auto"/>
              </w:rPr>
            </w:pPr>
            <w:proofErr w:type="gramStart"/>
            <w:r w:rsidRPr="00415DE0">
              <w:rPr>
                <w:color w:val="auto"/>
              </w:rPr>
              <w:t>2019:Q</w:t>
            </w:r>
            <w:proofErr w:type="gramEnd"/>
            <w:r w:rsidRPr="00415DE0">
              <w:rPr>
                <w:color w:val="auto"/>
              </w:rPr>
              <w:t>4</w:t>
            </w:r>
          </w:p>
        </w:tc>
        <w:tc>
          <w:tcPr>
            <w:tcW w:w="1017" w:type="dxa"/>
            <w:shd w:val="clear" w:color="auto" w:fill="E7E6E6" w:themeFill="background2"/>
            <w:noWrap/>
            <w:vAlign w:val="center"/>
          </w:tcPr>
          <w:p w14:paraId="18B02783" w14:textId="01CCABDB" w:rsidR="00415DE0" w:rsidRPr="00415DE0" w:rsidRDefault="00415DE0" w:rsidP="00415DE0">
            <w:pPr>
              <w:jc w:val="center"/>
              <w:rPr>
                <w:color w:val="auto"/>
              </w:rPr>
            </w:pPr>
            <w:proofErr w:type="gramStart"/>
            <w:r w:rsidRPr="00415DE0">
              <w:rPr>
                <w:color w:val="auto"/>
              </w:rPr>
              <w:t>2020:Q</w:t>
            </w:r>
            <w:proofErr w:type="gramEnd"/>
            <w:r w:rsidRPr="00415DE0">
              <w:rPr>
                <w:color w:val="auto"/>
              </w:rPr>
              <w:t>1</w:t>
            </w:r>
          </w:p>
        </w:tc>
        <w:tc>
          <w:tcPr>
            <w:tcW w:w="1017" w:type="dxa"/>
            <w:shd w:val="clear" w:color="auto" w:fill="E7E6E6" w:themeFill="background2"/>
            <w:noWrap/>
            <w:vAlign w:val="center"/>
          </w:tcPr>
          <w:p w14:paraId="38E8799F" w14:textId="524D0137" w:rsidR="00415DE0" w:rsidRPr="00415DE0" w:rsidRDefault="00415DE0" w:rsidP="00415DE0">
            <w:pPr>
              <w:jc w:val="center"/>
              <w:rPr>
                <w:color w:val="auto"/>
              </w:rPr>
            </w:pPr>
            <w:proofErr w:type="gramStart"/>
            <w:r w:rsidRPr="00415DE0">
              <w:rPr>
                <w:color w:val="auto"/>
              </w:rPr>
              <w:t>2020:Q</w:t>
            </w:r>
            <w:proofErr w:type="gramEnd"/>
            <w:r w:rsidRPr="00415DE0">
              <w:rPr>
                <w:color w:val="auto"/>
              </w:rPr>
              <w:t>2</w:t>
            </w:r>
          </w:p>
        </w:tc>
        <w:tc>
          <w:tcPr>
            <w:tcW w:w="1449" w:type="dxa"/>
            <w:shd w:val="clear" w:color="auto" w:fill="E7E6E6" w:themeFill="background2"/>
            <w:noWrap/>
            <w:vAlign w:val="center"/>
          </w:tcPr>
          <w:p w14:paraId="498EA8F8" w14:textId="60CA6864" w:rsidR="00415DE0" w:rsidRPr="00415DE0" w:rsidRDefault="00415DE0" w:rsidP="00415DE0">
            <w:pPr>
              <w:jc w:val="center"/>
              <w:rPr>
                <w:color w:val="auto"/>
              </w:rPr>
            </w:pPr>
            <w:proofErr w:type="gramStart"/>
            <w:r w:rsidRPr="00415DE0">
              <w:rPr>
                <w:color w:val="auto"/>
              </w:rPr>
              <w:t>2019:Q</w:t>
            </w:r>
            <w:proofErr w:type="gramEnd"/>
            <w:r w:rsidRPr="00415DE0">
              <w:rPr>
                <w:color w:val="auto"/>
              </w:rPr>
              <w:t>2-2020:Q2</w:t>
            </w:r>
          </w:p>
        </w:tc>
      </w:tr>
      <w:tr w:rsidR="00CC7BB7" w:rsidRPr="004B4100" w14:paraId="215F8F28" w14:textId="77777777" w:rsidTr="00C757FD">
        <w:trPr>
          <w:trHeight w:val="294"/>
          <w:jc w:val="center"/>
        </w:trPr>
        <w:tc>
          <w:tcPr>
            <w:tcW w:w="3145" w:type="dxa"/>
            <w:noWrap/>
            <w:hideMark/>
          </w:tcPr>
          <w:p w14:paraId="0A4359D9" w14:textId="77777777" w:rsidR="00CC7BB7" w:rsidRPr="00415DE0" w:rsidRDefault="00CC7BB7" w:rsidP="00356CBC">
            <w:pPr>
              <w:ind w:left="432"/>
              <w:rPr>
                <w:color w:val="auto"/>
              </w:rPr>
            </w:pPr>
            <w:r w:rsidRPr="00415DE0">
              <w:rPr>
                <w:color w:val="auto"/>
              </w:rPr>
              <w:t>Maine</w:t>
            </w:r>
          </w:p>
        </w:tc>
        <w:tc>
          <w:tcPr>
            <w:tcW w:w="1314" w:type="dxa"/>
            <w:noWrap/>
            <w:hideMark/>
          </w:tcPr>
          <w:p w14:paraId="54DA9241" w14:textId="7AEC191E" w:rsidR="00CC7BB7" w:rsidRPr="00415DE0" w:rsidRDefault="00415DE0" w:rsidP="00356CBC">
            <w:pPr>
              <w:ind w:right="240"/>
              <w:jc w:val="right"/>
              <w:rPr>
                <w:color w:val="auto"/>
              </w:rPr>
            </w:pPr>
            <w:r w:rsidRPr="00415DE0">
              <w:rPr>
                <w:color w:val="auto"/>
              </w:rPr>
              <w:t>4.6</w:t>
            </w:r>
          </w:p>
        </w:tc>
        <w:tc>
          <w:tcPr>
            <w:tcW w:w="1143" w:type="dxa"/>
            <w:noWrap/>
            <w:hideMark/>
          </w:tcPr>
          <w:p w14:paraId="602998D5" w14:textId="69146A2F" w:rsidR="00CC7BB7" w:rsidRPr="00415DE0" w:rsidRDefault="00415DE0" w:rsidP="00356CBC">
            <w:pPr>
              <w:ind w:right="240"/>
              <w:jc w:val="right"/>
              <w:rPr>
                <w:color w:val="auto"/>
              </w:rPr>
            </w:pPr>
            <w:r w:rsidRPr="00415DE0">
              <w:rPr>
                <w:color w:val="auto"/>
              </w:rPr>
              <w:t>2.4</w:t>
            </w:r>
          </w:p>
        </w:tc>
        <w:tc>
          <w:tcPr>
            <w:tcW w:w="1017" w:type="dxa"/>
            <w:noWrap/>
            <w:hideMark/>
          </w:tcPr>
          <w:p w14:paraId="36D91FB0" w14:textId="2B007C82" w:rsidR="00CC7BB7" w:rsidRPr="00415DE0" w:rsidRDefault="00415DE0" w:rsidP="00356CBC">
            <w:pPr>
              <w:ind w:right="240"/>
              <w:jc w:val="right"/>
              <w:rPr>
                <w:color w:val="auto"/>
              </w:rPr>
            </w:pPr>
            <w:r w:rsidRPr="00415DE0">
              <w:rPr>
                <w:color w:val="auto"/>
              </w:rPr>
              <w:t>-5.0</w:t>
            </w:r>
          </w:p>
        </w:tc>
        <w:tc>
          <w:tcPr>
            <w:tcW w:w="1017" w:type="dxa"/>
            <w:noWrap/>
            <w:hideMark/>
          </w:tcPr>
          <w:p w14:paraId="42A16387" w14:textId="0E41FBAE" w:rsidR="00CC7BB7" w:rsidRPr="00415DE0" w:rsidRDefault="00415DE0" w:rsidP="00356CBC">
            <w:pPr>
              <w:ind w:right="240"/>
              <w:jc w:val="right"/>
              <w:rPr>
                <w:color w:val="auto"/>
              </w:rPr>
            </w:pPr>
            <w:r w:rsidRPr="00415DE0">
              <w:rPr>
                <w:color w:val="auto"/>
              </w:rPr>
              <w:t>-3</w:t>
            </w:r>
            <w:r>
              <w:rPr>
                <w:color w:val="auto"/>
              </w:rPr>
              <w:t>4</w:t>
            </w:r>
            <w:r w:rsidRPr="00415DE0">
              <w:rPr>
                <w:color w:val="auto"/>
              </w:rPr>
              <w:t>.4</w:t>
            </w:r>
          </w:p>
        </w:tc>
        <w:tc>
          <w:tcPr>
            <w:tcW w:w="1449" w:type="dxa"/>
            <w:noWrap/>
            <w:hideMark/>
          </w:tcPr>
          <w:p w14:paraId="4473FB8C" w14:textId="36B25F2B" w:rsidR="00CC7BB7" w:rsidRPr="00415DE0" w:rsidRDefault="00415DE0" w:rsidP="00CC7BB7">
            <w:pPr>
              <w:jc w:val="center"/>
              <w:rPr>
                <w:color w:val="auto"/>
              </w:rPr>
            </w:pPr>
            <w:r w:rsidRPr="00415DE0">
              <w:rPr>
                <w:color w:val="auto"/>
              </w:rPr>
              <w:t>-9.8</w:t>
            </w:r>
          </w:p>
        </w:tc>
      </w:tr>
      <w:tr w:rsidR="00CC7BB7" w:rsidRPr="004B4100" w14:paraId="51FCC510" w14:textId="77777777" w:rsidTr="00C757FD">
        <w:trPr>
          <w:trHeight w:val="294"/>
          <w:jc w:val="center"/>
        </w:trPr>
        <w:tc>
          <w:tcPr>
            <w:tcW w:w="3145" w:type="dxa"/>
            <w:noWrap/>
            <w:hideMark/>
          </w:tcPr>
          <w:p w14:paraId="6A03BACF" w14:textId="77777777" w:rsidR="00CC7BB7" w:rsidRPr="00415DE0" w:rsidRDefault="00CC7BB7" w:rsidP="00356CBC">
            <w:pPr>
              <w:ind w:left="432"/>
              <w:rPr>
                <w:color w:val="auto"/>
              </w:rPr>
            </w:pPr>
            <w:r w:rsidRPr="00415DE0">
              <w:rPr>
                <w:color w:val="auto"/>
              </w:rPr>
              <w:t>New England</w:t>
            </w:r>
          </w:p>
        </w:tc>
        <w:tc>
          <w:tcPr>
            <w:tcW w:w="1314" w:type="dxa"/>
            <w:noWrap/>
            <w:hideMark/>
          </w:tcPr>
          <w:p w14:paraId="2C2289C4" w14:textId="1AC93AA7" w:rsidR="00CC7BB7" w:rsidRPr="00415DE0" w:rsidRDefault="00415DE0" w:rsidP="00356CBC">
            <w:pPr>
              <w:ind w:right="240"/>
              <w:jc w:val="right"/>
              <w:rPr>
                <w:color w:val="auto"/>
              </w:rPr>
            </w:pPr>
            <w:r w:rsidRPr="00415DE0">
              <w:rPr>
                <w:color w:val="auto"/>
              </w:rPr>
              <w:t>1.6</w:t>
            </w:r>
          </w:p>
        </w:tc>
        <w:tc>
          <w:tcPr>
            <w:tcW w:w="1143" w:type="dxa"/>
            <w:noWrap/>
            <w:hideMark/>
          </w:tcPr>
          <w:p w14:paraId="440BF3A1" w14:textId="07E3176C" w:rsidR="00CC7BB7" w:rsidRPr="00415DE0" w:rsidRDefault="00415DE0" w:rsidP="00356CBC">
            <w:pPr>
              <w:ind w:right="240"/>
              <w:jc w:val="right"/>
              <w:rPr>
                <w:color w:val="auto"/>
              </w:rPr>
            </w:pPr>
            <w:r w:rsidRPr="00415DE0">
              <w:rPr>
                <w:color w:val="auto"/>
              </w:rPr>
              <w:t>1.0</w:t>
            </w:r>
          </w:p>
        </w:tc>
        <w:tc>
          <w:tcPr>
            <w:tcW w:w="1017" w:type="dxa"/>
            <w:noWrap/>
            <w:hideMark/>
          </w:tcPr>
          <w:p w14:paraId="198E2FA6" w14:textId="6915CA9E" w:rsidR="00CC7BB7" w:rsidRPr="00415DE0" w:rsidRDefault="00415DE0" w:rsidP="00356CBC">
            <w:pPr>
              <w:ind w:right="240"/>
              <w:jc w:val="right"/>
              <w:rPr>
                <w:color w:val="auto"/>
              </w:rPr>
            </w:pPr>
            <w:r w:rsidRPr="00415DE0">
              <w:rPr>
                <w:color w:val="auto"/>
              </w:rPr>
              <w:t>-4.8</w:t>
            </w:r>
          </w:p>
        </w:tc>
        <w:tc>
          <w:tcPr>
            <w:tcW w:w="1017" w:type="dxa"/>
            <w:noWrap/>
            <w:hideMark/>
          </w:tcPr>
          <w:p w14:paraId="7EC6A3B4" w14:textId="53F61CCE" w:rsidR="00CC7BB7" w:rsidRPr="00415DE0" w:rsidRDefault="00415DE0" w:rsidP="00356CBC">
            <w:pPr>
              <w:ind w:right="240"/>
              <w:jc w:val="right"/>
              <w:rPr>
                <w:color w:val="auto"/>
              </w:rPr>
            </w:pPr>
            <w:r w:rsidRPr="00415DE0">
              <w:rPr>
                <w:color w:val="auto"/>
              </w:rPr>
              <w:t>-32.3</w:t>
            </w:r>
          </w:p>
        </w:tc>
        <w:tc>
          <w:tcPr>
            <w:tcW w:w="1449" w:type="dxa"/>
            <w:noWrap/>
            <w:hideMark/>
          </w:tcPr>
          <w:p w14:paraId="25833DA2" w14:textId="06A8270A" w:rsidR="00CC7BB7" w:rsidRPr="00415DE0" w:rsidRDefault="00415DE0" w:rsidP="00CC7BB7">
            <w:pPr>
              <w:jc w:val="center"/>
              <w:rPr>
                <w:color w:val="auto"/>
              </w:rPr>
            </w:pPr>
            <w:r w:rsidRPr="00415DE0">
              <w:rPr>
                <w:color w:val="auto"/>
              </w:rPr>
              <w:t>-9.8</w:t>
            </w:r>
          </w:p>
        </w:tc>
      </w:tr>
      <w:tr w:rsidR="00CC7BB7" w:rsidRPr="004B4100" w14:paraId="1194CCBA" w14:textId="77777777" w:rsidTr="00C757FD">
        <w:trPr>
          <w:trHeight w:val="294"/>
          <w:jc w:val="center"/>
        </w:trPr>
        <w:tc>
          <w:tcPr>
            <w:tcW w:w="3145" w:type="dxa"/>
            <w:noWrap/>
            <w:hideMark/>
          </w:tcPr>
          <w:p w14:paraId="6920DBBD" w14:textId="77777777" w:rsidR="00CC7BB7" w:rsidRPr="00415DE0" w:rsidRDefault="00CC7BB7" w:rsidP="00356CBC">
            <w:pPr>
              <w:ind w:left="432"/>
              <w:rPr>
                <w:color w:val="auto"/>
              </w:rPr>
            </w:pPr>
            <w:r w:rsidRPr="00415DE0">
              <w:rPr>
                <w:color w:val="auto"/>
              </w:rPr>
              <w:t>United States</w:t>
            </w:r>
          </w:p>
        </w:tc>
        <w:tc>
          <w:tcPr>
            <w:tcW w:w="1314" w:type="dxa"/>
            <w:noWrap/>
            <w:hideMark/>
          </w:tcPr>
          <w:p w14:paraId="2C9AD533" w14:textId="26B4EE85" w:rsidR="00CC7BB7" w:rsidRPr="00415DE0" w:rsidRDefault="00415DE0" w:rsidP="00356CBC">
            <w:pPr>
              <w:ind w:right="240"/>
              <w:jc w:val="right"/>
              <w:rPr>
                <w:color w:val="auto"/>
              </w:rPr>
            </w:pPr>
            <w:r w:rsidRPr="00415DE0">
              <w:rPr>
                <w:color w:val="auto"/>
              </w:rPr>
              <w:t>2.6</w:t>
            </w:r>
          </w:p>
        </w:tc>
        <w:tc>
          <w:tcPr>
            <w:tcW w:w="1143" w:type="dxa"/>
            <w:noWrap/>
            <w:hideMark/>
          </w:tcPr>
          <w:p w14:paraId="4AF1E2D0" w14:textId="7F3952C9" w:rsidR="00CC7BB7" w:rsidRPr="00415DE0" w:rsidRDefault="00415DE0" w:rsidP="00356CBC">
            <w:pPr>
              <w:ind w:right="240"/>
              <w:jc w:val="right"/>
              <w:rPr>
                <w:color w:val="auto"/>
              </w:rPr>
            </w:pPr>
            <w:r w:rsidRPr="00415DE0">
              <w:rPr>
                <w:color w:val="auto"/>
              </w:rPr>
              <w:t>2.4</w:t>
            </w:r>
          </w:p>
        </w:tc>
        <w:tc>
          <w:tcPr>
            <w:tcW w:w="1017" w:type="dxa"/>
            <w:noWrap/>
            <w:hideMark/>
          </w:tcPr>
          <w:p w14:paraId="3C9724DF" w14:textId="5620B761" w:rsidR="00CC7BB7" w:rsidRPr="00415DE0" w:rsidRDefault="00415DE0" w:rsidP="00356CBC">
            <w:pPr>
              <w:ind w:right="240"/>
              <w:jc w:val="right"/>
              <w:rPr>
                <w:color w:val="auto"/>
              </w:rPr>
            </w:pPr>
            <w:r w:rsidRPr="00415DE0">
              <w:rPr>
                <w:color w:val="auto"/>
              </w:rPr>
              <w:t>-5.0</w:t>
            </w:r>
          </w:p>
        </w:tc>
        <w:tc>
          <w:tcPr>
            <w:tcW w:w="1017" w:type="dxa"/>
            <w:noWrap/>
            <w:hideMark/>
          </w:tcPr>
          <w:p w14:paraId="0D6E5AA7" w14:textId="522554C5" w:rsidR="00CC7BB7" w:rsidRPr="00415DE0" w:rsidRDefault="00415DE0" w:rsidP="00356CBC">
            <w:pPr>
              <w:ind w:right="240"/>
              <w:jc w:val="right"/>
              <w:rPr>
                <w:color w:val="auto"/>
              </w:rPr>
            </w:pPr>
            <w:r w:rsidRPr="00415DE0">
              <w:rPr>
                <w:color w:val="auto"/>
              </w:rPr>
              <w:t>-31.4</w:t>
            </w:r>
          </w:p>
        </w:tc>
        <w:tc>
          <w:tcPr>
            <w:tcW w:w="1449" w:type="dxa"/>
            <w:noWrap/>
            <w:hideMark/>
          </w:tcPr>
          <w:p w14:paraId="5D9871C3" w14:textId="4EE5D3E5" w:rsidR="00CC7BB7" w:rsidRPr="00415DE0" w:rsidRDefault="00415DE0" w:rsidP="00C757FD">
            <w:pPr>
              <w:jc w:val="center"/>
              <w:rPr>
                <w:color w:val="auto"/>
              </w:rPr>
            </w:pPr>
            <w:r w:rsidRPr="00415DE0">
              <w:rPr>
                <w:color w:val="auto"/>
              </w:rPr>
              <w:t>-9.0</w:t>
            </w:r>
          </w:p>
        </w:tc>
      </w:tr>
      <w:bookmarkEnd w:id="2"/>
      <w:tr w:rsidR="00CC7BB7" w:rsidRPr="004B4100" w14:paraId="391FD341" w14:textId="0E4B2790" w:rsidTr="00C757FD">
        <w:trPr>
          <w:trHeight w:val="286"/>
          <w:jc w:val="center"/>
        </w:trPr>
        <w:tc>
          <w:tcPr>
            <w:tcW w:w="3145" w:type="dxa"/>
            <w:shd w:val="clear" w:color="auto" w:fill="E7E6E6" w:themeFill="background2"/>
            <w:noWrap/>
            <w:vAlign w:val="center"/>
          </w:tcPr>
          <w:p w14:paraId="1EDE50F2" w14:textId="7EB3AB49" w:rsidR="00CC7BB7" w:rsidRPr="00A029E3" w:rsidRDefault="00CC7BB7" w:rsidP="00CC7BB7">
            <w:pPr>
              <w:ind w:left="72"/>
            </w:pPr>
            <w:r w:rsidRPr="00A029E3">
              <w:rPr>
                <w:b/>
              </w:rPr>
              <w:t>Total Personal Income</w:t>
            </w:r>
          </w:p>
        </w:tc>
        <w:tc>
          <w:tcPr>
            <w:tcW w:w="1314" w:type="dxa"/>
            <w:shd w:val="clear" w:color="auto" w:fill="E7E6E6" w:themeFill="background2"/>
            <w:noWrap/>
            <w:vAlign w:val="center"/>
          </w:tcPr>
          <w:p w14:paraId="51D41879" w14:textId="2332F0E3" w:rsidR="00CC7BB7" w:rsidRPr="00A029E3" w:rsidRDefault="00CC7BB7" w:rsidP="00CC7BB7">
            <w:pPr>
              <w:jc w:val="center"/>
            </w:pPr>
            <w:proofErr w:type="gramStart"/>
            <w:r w:rsidRPr="00A029E3">
              <w:rPr>
                <w:color w:val="auto"/>
              </w:rPr>
              <w:t>2019:Q</w:t>
            </w:r>
            <w:proofErr w:type="gramEnd"/>
            <w:r w:rsidR="00351B27" w:rsidRPr="00A029E3">
              <w:rPr>
                <w:color w:val="auto"/>
              </w:rPr>
              <w:t>3</w:t>
            </w:r>
          </w:p>
        </w:tc>
        <w:tc>
          <w:tcPr>
            <w:tcW w:w="1143" w:type="dxa"/>
            <w:shd w:val="clear" w:color="auto" w:fill="E7E6E6" w:themeFill="background2"/>
            <w:noWrap/>
            <w:vAlign w:val="center"/>
          </w:tcPr>
          <w:p w14:paraId="50BBBB83" w14:textId="673AF04A" w:rsidR="00CC7BB7" w:rsidRPr="00A029E3" w:rsidRDefault="00CC7BB7" w:rsidP="00CC7BB7">
            <w:pPr>
              <w:jc w:val="center"/>
            </w:pPr>
            <w:proofErr w:type="gramStart"/>
            <w:r w:rsidRPr="00A029E3">
              <w:rPr>
                <w:color w:val="auto"/>
              </w:rPr>
              <w:t>2019:Q</w:t>
            </w:r>
            <w:proofErr w:type="gramEnd"/>
            <w:r w:rsidR="00351B27" w:rsidRPr="00A029E3">
              <w:rPr>
                <w:color w:val="auto"/>
              </w:rPr>
              <w:t>4</w:t>
            </w:r>
          </w:p>
        </w:tc>
        <w:tc>
          <w:tcPr>
            <w:tcW w:w="1017" w:type="dxa"/>
            <w:shd w:val="clear" w:color="auto" w:fill="E7E6E6" w:themeFill="background2"/>
            <w:noWrap/>
            <w:vAlign w:val="center"/>
          </w:tcPr>
          <w:p w14:paraId="4D157D76" w14:textId="063F6D87" w:rsidR="00CC7BB7" w:rsidRPr="00A029E3" w:rsidRDefault="00351B27" w:rsidP="00CC7BB7">
            <w:pPr>
              <w:jc w:val="center"/>
            </w:pPr>
            <w:proofErr w:type="gramStart"/>
            <w:r w:rsidRPr="00A029E3">
              <w:rPr>
                <w:color w:val="auto"/>
              </w:rPr>
              <w:t>2020:Q</w:t>
            </w:r>
            <w:proofErr w:type="gramEnd"/>
            <w:r w:rsidRPr="00A029E3">
              <w:rPr>
                <w:color w:val="auto"/>
              </w:rPr>
              <w:t>1</w:t>
            </w:r>
          </w:p>
        </w:tc>
        <w:tc>
          <w:tcPr>
            <w:tcW w:w="1017" w:type="dxa"/>
            <w:shd w:val="clear" w:color="auto" w:fill="E7E6E6" w:themeFill="background2"/>
            <w:noWrap/>
            <w:vAlign w:val="center"/>
          </w:tcPr>
          <w:p w14:paraId="4C7AEEC9" w14:textId="38D7F921" w:rsidR="00CC7BB7" w:rsidRPr="00A029E3" w:rsidRDefault="00CC7BB7" w:rsidP="00CC7BB7">
            <w:pPr>
              <w:jc w:val="center"/>
            </w:pPr>
            <w:proofErr w:type="gramStart"/>
            <w:r w:rsidRPr="00A029E3">
              <w:rPr>
                <w:color w:val="auto"/>
              </w:rPr>
              <w:t>20</w:t>
            </w:r>
            <w:r w:rsidR="00A2045F" w:rsidRPr="00A029E3">
              <w:rPr>
                <w:color w:val="auto"/>
              </w:rPr>
              <w:t>20:Q</w:t>
            </w:r>
            <w:proofErr w:type="gramEnd"/>
            <w:r w:rsidR="00351B27" w:rsidRPr="00A029E3">
              <w:rPr>
                <w:color w:val="auto"/>
              </w:rPr>
              <w:t>2</w:t>
            </w:r>
          </w:p>
        </w:tc>
        <w:tc>
          <w:tcPr>
            <w:tcW w:w="1449" w:type="dxa"/>
            <w:shd w:val="clear" w:color="auto" w:fill="E7E6E6" w:themeFill="background2"/>
            <w:noWrap/>
            <w:vAlign w:val="center"/>
          </w:tcPr>
          <w:p w14:paraId="23276379" w14:textId="2E363E7E" w:rsidR="00CC7BB7" w:rsidRPr="00A029E3" w:rsidRDefault="00AA5911" w:rsidP="00CC7BB7">
            <w:pPr>
              <w:jc w:val="center"/>
            </w:pPr>
            <w:proofErr w:type="gramStart"/>
            <w:r>
              <w:rPr>
                <w:color w:val="auto"/>
              </w:rPr>
              <w:t>2019:Q</w:t>
            </w:r>
            <w:proofErr w:type="gramEnd"/>
            <w:r>
              <w:rPr>
                <w:color w:val="auto"/>
              </w:rPr>
              <w:t>2-2020:Q2</w:t>
            </w:r>
          </w:p>
        </w:tc>
      </w:tr>
      <w:tr w:rsidR="00CC7BB7" w:rsidRPr="004B4100" w14:paraId="06B4AB84" w14:textId="5E62399C" w:rsidTr="00C757FD">
        <w:trPr>
          <w:trHeight w:val="286"/>
          <w:jc w:val="center"/>
        </w:trPr>
        <w:tc>
          <w:tcPr>
            <w:tcW w:w="3145" w:type="dxa"/>
            <w:noWrap/>
            <w:hideMark/>
          </w:tcPr>
          <w:p w14:paraId="14F8243B" w14:textId="4552AC52" w:rsidR="00CC7BB7" w:rsidRPr="00A029E3" w:rsidRDefault="00CC7BB7" w:rsidP="002F71CB">
            <w:pPr>
              <w:ind w:left="432"/>
            </w:pPr>
            <w:r w:rsidRPr="00A029E3">
              <w:t>Maine</w:t>
            </w:r>
          </w:p>
        </w:tc>
        <w:tc>
          <w:tcPr>
            <w:tcW w:w="1314" w:type="dxa"/>
            <w:noWrap/>
          </w:tcPr>
          <w:p w14:paraId="0E92A714" w14:textId="61D33A9A" w:rsidR="00CC7BB7" w:rsidRPr="00A029E3" w:rsidRDefault="00351B27" w:rsidP="002F71CB">
            <w:pPr>
              <w:ind w:right="240"/>
              <w:jc w:val="right"/>
            </w:pPr>
            <w:r w:rsidRPr="00A029E3">
              <w:t>3.1</w:t>
            </w:r>
          </w:p>
        </w:tc>
        <w:tc>
          <w:tcPr>
            <w:tcW w:w="1143" w:type="dxa"/>
            <w:noWrap/>
          </w:tcPr>
          <w:p w14:paraId="2B207439" w14:textId="49DD151E" w:rsidR="00CC7BB7" w:rsidRPr="00A029E3" w:rsidRDefault="00351B27" w:rsidP="002F71CB">
            <w:pPr>
              <w:ind w:right="240"/>
              <w:jc w:val="right"/>
            </w:pPr>
            <w:r w:rsidRPr="00A029E3">
              <w:t>3.7</w:t>
            </w:r>
          </w:p>
        </w:tc>
        <w:tc>
          <w:tcPr>
            <w:tcW w:w="1017" w:type="dxa"/>
            <w:noWrap/>
          </w:tcPr>
          <w:p w14:paraId="17176CE6" w14:textId="763ECAA1" w:rsidR="00CC7BB7" w:rsidRPr="00A029E3" w:rsidRDefault="00351B27" w:rsidP="002F71CB">
            <w:pPr>
              <w:ind w:right="240"/>
              <w:jc w:val="right"/>
            </w:pPr>
            <w:r w:rsidRPr="00A029E3">
              <w:t>4.5</w:t>
            </w:r>
          </w:p>
        </w:tc>
        <w:tc>
          <w:tcPr>
            <w:tcW w:w="1017" w:type="dxa"/>
            <w:noWrap/>
          </w:tcPr>
          <w:p w14:paraId="78B98440" w14:textId="08FCD3BC" w:rsidR="00CC7BB7" w:rsidRPr="00A029E3" w:rsidRDefault="00351B27" w:rsidP="002F71CB">
            <w:pPr>
              <w:ind w:right="240"/>
              <w:jc w:val="right"/>
            </w:pPr>
            <w:r w:rsidRPr="00A029E3">
              <w:t>41.0</w:t>
            </w:r>
          </w:p>
        </w:tc>
        <w:tc>
          <w:tcPr>
            <w:tcW w:w="1449" w:type="dxa"/>
            <w:noWrap/>
          </w:tcPr>
          <w:p w14:paraId="00137D25" w14:textId="6E0F5ECD" w:rsidR="00CC7BB7" w:rsidRPr="00A029E3" w:rsidRDefault="00351B27" w:rsidP="00CC7BB7">
            <w:pPr>
              <w:ind w:right="240"/>
              <w:jc w:val="center"/>
            </w:pPr>
            <w:r w:rsidRPr="00A029E3">
              <w:t>12.0</w:t>
            </w:r>
          </w:p>
        </w:tc>
      </w:tr>
      <w:tr w:rsidR="00CC7BB7" w:rsidRPr="004B4100" w14:paraId="5B28D0FF" w14:textId="7F66B742" w:rsidTr="00C757FD">
        <w:trPr>
          <w:trHeight w:val="286"/>
          <w:jc w:val="center"/>
        </w:trPr>
        <w:tc>
          <w:tcPr>
            <w:tcW w:w="3145" w:type="dxa"/>
            <w:noWrap/>
            <w:hideMark/>
          </w:tcPr>
          <w:p w14:paraId="5C24ADD6" w14:textId="14DFF0E9" w:rsidR="00CC7BB7" w:rsidRPr="00A029E3" w:rsidRDefault="00CC7BB7" w:rsidP="002F71CB">
            <w:pPr>
              <w:ind w:left="432"/>
            </w:pPr>
            <w:r w:rsidRPr="00A029E3">
              <w:t>New England</w:t>
            </w:r>
          </w:p>
        </w:tc>
        <w:tc>
          <w:tcPr>
            <w:tcW w:w="1314" w:type="dxa"/>
            <w:noWrap/>
          </w:tcPr>
          <w:p w14:paraId="062DCBCC" w14:textId="4306DAB8" w:rsidR="00CC7BB7" w:rsidRPr="00A029E3" w:rsidRDefault="00351B27" w:rsidP="002F71CB">
            <w:pPr>
              <w:ind w:right="240"/>
              <w:jc w:val="right"/>
            </w:pPr>
            <w:r w:rsidRPr="00A029E3">
              <w:t>0.7</w:t>
            </w:r>
          </w:p>
        </w:tc>
        <w:tc>
          <w:tcPr>
            <w:tcW w:w="1143" w:type="dxa"/>
            <w:noWrap/>
          </w:tcPr>
          <w:p w14:paraId="25F00556" w14:textId="2EEAE8D1" w:rsidR="00CC7BB7" w:rsidRPr="00A029E3" w:rsidRDefault="00351B27" w:rsidP="002F71CB">
            <w:pPr>
              <w:ind w:right="240"/>
              <w:jc w:val="right"/>
            </w:pPr>
            <w:r w:rsidRPr="00A029E3">
              <w:t>2.4</w:t>
            </w:r>
          </w:p>
        </w:tc>
        <w:tc>
          <w:tcPr>
            <w:tcW w:w="1017" w:type="dxa"/>
            <w:noWrap/>
          </w:tcPr>
          <w:p w14:paraId="04097EE0" w14:textId="66E09647" w:rsidR="00CC7BB7" w:rsidRPr="00A029E3" w:rsidRDefault="00351B27" w:rsidP="002F71CB">
            <w:pPr>
              <w:ind w:right="240"/>
              <w:jc w:val="right"/>
            </w:pPr>
            <w:r w:rsidRPr="00A029E3">
              <w:t>4.4</w:t>
            </w:r>
          </w:p>
        </w:tc>
        <w:tc>
          <w:tcPr>
            <w:tcW w:w="1017" w:type="dxa"/>
            <w:noWrap/>
          </w:tcPr>
          <w:p w14:paraId="7B55078D" w14:textId="3F801697" w:rsidR="00CC7BB7" w:rsidRPr="00A029E3" w:rsidRDefault="00351B27" w:rsidP="002F71CB">
            <w:pPr>
              <w:ind w:right="240"/>
              <w:jc w:val="right"/>
            </w:pPr>
            <w:r w:rsidRPr="00A029E3">
              <w:t>50.8</w:t>
            </w:r>
          </w:p>
        </w:tc>
        <w:tc>
          <w:tcPr>
            <w:tcW w:w="1449" w:type="dxa"/>
            <w:noWrap/>
          </w:tcPr>
          <w:p w14:paraId="080FA490" w14:textId="10C8A99C" w:rsidR="00CC7BB7" w:rsidRPr="00A029E3" w:rsidRDefault="00C757FD" w:rsidP="00CC7BB7">
            <w:pPr>
              <w:ind w:right="240"/>
              <w:jc w:val="center"/>
            </w:pPr>
            <w:r w:rsidRPr="00A029E3">
              <w:t xml:space="preserve">   </w:t>
            </w:r>
            <w:r w:rsidR="00351B27" w:rsidRPr="00A029E3">
              <w:t>12.9</w:t>
            </w:r>
          </w:p>
        </w:tc>
      </w:tr>
      <w:tr w:rsidR="00CC7BB7" w:rsidRPr="004B4100" w14:paraId="764C460C" w14:textId="3B4B587F" w:rsidTr="00C757FD">
        <w:trPr>
          <w:trHeight w:val="286"/>
          <w:jc w:val="center"/>
        </w:trPr>
        <w:tc>
          <w:tcPr>
            <w:tcW w:w="3145" w:type="dxa"/>
            <w:noWrap/>
            <w:hideMark/>
          </w:tcPr>
          <w:p w14:paraId="47E6B8AD" w14:textId="2602E621" w:rsidR="00CC7BB7" w:rsidRPr="00A029E3" w:rsidRDefault="00CC7BB7" w:rsidP="00091F21">
            <w:pPr>
              <w:ind w:left="432"/>
            </w:pPr>
            <w:r w:rsidRPr="00A029E3">
              <w:t>United States</w:t>
            </w:r>
          </w:p>
        </w:tc>
        <w:tc>
          <w:tcPr>
            <w:tcW w:w="1314" w:type="dxa"/>
            <w:noWrap/>
          </w:tcPr>
          <w:p w14:paraId="7947B037" w14:textId="5643B06B" w:rsidR="00CC7BB7" w:rsidRPr="00A029E3" w:rsidRDefault="00351B27" w:rsidP="00091F21">
            <w:pPr>
              <w:ind w:right="240"/>
              <w:jc w:val="right"/>
            </w:pPr>
            <w:r w:rsidRPr="00A029E3">
              <w:t>2.6</w:t>
            </w:r>
          </w:p>
        </w:tc>
        <w:tc>
          <w:tcPr>
            <w:tcW w:w="1143" w:type="dxa"/>
            <w:noWrap/>
          </w:tcPr>
          <w:p w14:paraId="4E403959" w14:textId="1F9D8339" w:rsidR="00CC7BB7" w:rsidRPr="00A029E3" w:rsidRDefault="00351B27" w:rsidP="00091F21">
            <w:pPr>
              <w:ind w:right="240"/>
              <w:jc w:val="right"/>
            </w:pPr>
            <w:r w:rsidRPr="00A029E3">
              <w:t>3.5</w:t>
            </w:r>
          </w:p>
        </w:tc>
        <w:tc>
          <w:tcPr>
            <w:tcW w:w="1017" w:type="dxa"/>
            <w:noWrap/>
          </w:tcPr>
          <w:p w14:paraId="10E4DF7B" w14:textId="666C3C60" w:rsidR="00CC7BB7" w:rsidRPr="00A029E3" w:rsidRDefault="00351B27" w:rsidP="00091F21">
            <w:pPr>
              <w:ind w:right="240"/>
              <w:jc w:val="right"/>
            </w:pPr>
            <w:r w:rsidRPr="00A029E3">
              <w:t>4.1</w:t>
            </w:r>
          </w:p>
        </w:tc>
        <w:tc>
          <w:tcPr>
            <w:tcW w:w="1017" w:type="dxa"/>
            <w:noWrap/>
          </w:tcPr>
          <w:p w14:paraId="375E247C" w14:textId="3F1F5F1A" w:rsidR="00CC7BB7" w:rsidRPr="00A029E3" w:rsidRDefault="00351B27" w:rsidP="00091F21">
            <w:pPr>
              <w:ind w:right="240"/>
              <w:jc w:val="right"/>
            </w:pPr>
            <w:r w:rsidRPr="00A029E3">
              <w:t>34.2</w:t>
            </w:r>
          </w:p>
        </w:tc>
        <w:tc>
          <w:tcPr>
            <w:tcW w:w="1449" w:type="dxa"/>
            <w:noWrap/>
          </w:tcPr>
          <w:p w14:paraId="31AA88BB" w14:textId="38B658BD" w:rsidR="00CC7BB7" w:rsidRPr="00A029E3" w:rsidRDefault="00C757FD" w:rsidP="00CC7BB7">
            <w:pPr>
              <w:ind w:right="240"/>
              <w:jc w:val="center"/>
            </w:pPr>
            <w:r w:rsidRPr="00A029E3">
              <w:t xml:space="preserve">   </w:t>
            </w:r>
            <w:r w:rsidR="00351B27" w:rsidRPr="00A029E3">
              <w:t>10.4</w:t>
            </w:r>
          </w:p>
        </w:tc>
      </w:tr>
      <w:tr w:rsidR="00351B27" w:rsidRPr="004B4100" w14:paraId="3B55E466" w14:textId="070540BB" w:rsidTr="00C757FD">
        <w:trPr>
          <w:trHeight w:val="286"/>
          <w:jc w:val="center"/>
        </w:trPr>
        <w:tc>
          <w:tcPr>
            <w:tcW w:w="3145" w:type="dxa"/>
            <w:shd w:val="clear" w:color="auto" w:fill="E7E6E6" w:themeFill="background2"/>
            <w:noWrap/>
            <w:vAlign w:val="center"/>
          </w:tcPr>
          <w:p w14:paraId="67282B93" w14:textId="4C17E5B4" w:rsidR="00351B27" w:rsidRPr="00A029E3" w:rsidRDefault="00351B27" w:rsidP="00351B27">
            <w:pPr>
              <w:ind w:left="72"/>
            </w:pPr>
            <w:r w:rsidRPr="00A029E3">
              <w:rPr>
                <w:b/>
              </w:rPr>
              <w:t>Per Capita Personal Income</w:t>
            </w:r>
          </w:p>
        </w:tc>
        <w:tc>
          <w:tcPr>
            <w:tcW w:w="1314" w:type="dxa"/>
            <w:shd w:val="clear" w:color="auto" w:fill="E7E6E6" w:themeFill="background2"/>
            <w:noWrap/>
            <w:vAlign w:val="center"/>
          </w:tcPr>
          <w:p w14:paraId="0B1C91EE" w14:textId="77F80CDB" w:rsidR="00351B27" w:rsidRPr="00A029E3" w:rsidRDefault="00351B27" w:rsidP="00351B27">
            <w:pPr>
              <w:jc w:val="center"/>
            </w:pPr>
            <w:proofErr w:type="gramStart"/>
            <w:r w:rsidRPr="00A029E3">
              <w:rPr>
                <w:color w:val="auto"/>
              </w:rPr>
              <w:t>2019:Q</w:t>
            </w:r>
            <w:proofErr w:type="gramEnd"/>
          </w:p>
        </w:tc>
        <w:tc>
          <w:tcPr>
            <w:tcW w:w="1143" w:type="dxa"/>
            <w:shd w:val="clear" w:color="auto" w:fill="E7E6E6" w:themeFill="background2"/>
            <w:noWrap/>
            <w:vAlign w:val="center"/>
          </w:tcPr>
          <w:p w14:paraId="6216FDAC" w14:textId="308FC507" w:rsidR="00351B27" w:rsidRPr="00A029E3" w:rsidRDefault="00351B27" w:rsidP="00351B27">
            <w:pPr>
              <w:jc w:val="center"/>
            </w:pPr>
            <w:proofErr w:type="gramStart"/>
            <w:r w:rsidRPr="00A029E3">
              <w:rPr>
                <w:color w:val="auto"/>
              </w:rPr>
              <w:t>2019:Q</w:t>
            </w:r>
            <w:proofErr w:type="gramEnd"/>
            <w:r w:rsidRPr="00A029E3">
              <w:rPr>
                <w:color w:val="auto"/>
              </w:rPr>
              <w:t>4</w:t>
            </w:r>
          </w:p>
        </w:tc>
        <w:tc>
          <w:tcPr>
            <w:tcW w:w="1017" w:type="dxa"/>
            <w:shd w:val="clear" w:color="auto" w:fill="E7E6E6" w:themeFill="background2"/>
            <w:noWrap/>
            <w:vAlign w:val="center"/>
          </w:tcPr>
          <w:p w14:paraId="270EA1C0" w14:textId="3B04314C" w:rsidR="00351B27" w:rsidRPr="00A029E3" w:rsidRDefault="00351B27" w:rsidP="00351B27">
            <w:pPr>
              <w:jc w:val="center"/>
            </w:pPr>
            <w:proofErr w:type="gramStart"/>
            <w:r w:rsidRPr="00A029E3">
              <w:rPr>
                <w:color w:val="auto"/>
              </w:rPr>
              <w:t>2020:Q</w:t>
            </w:r>
            <w:proofErr w:type="gramEnd"/>
            <w:r w:rsidRPr="00A029E3">
              <w:rPr>
                <w:color w:val="auto"/>
              </w:rPr>
              <w:t>1</w:t>
            </w:r>
          </w:p>
        </w:tc>
        <w:tc>
          <w:tcPr>
            <w:tcW w:w="1017" w:type="dxa"/>
            <w:shd w:val="clear" w:color="auto" w:fill="E7E6E6" w:themeFill="background2"/>
            <w:noWrap/>
            <w:vAlign w:val="center"/>
          </w:tcPr>
          <w:p w14:paraId="77601CA9" w14:textId="099FAD62" w:rsidR="00351B27" w:rsidRPr="00A029E3" w:rsidRDefault="00351B27" w:rsidP="00351B27">
            <w:pPr>
              <w:jc w:val="center"/>
            </w:pPr>
            <w:proofErr w:type="gramStart"/>
            <w:r w:rsidRPr="00A029E3">
              <w:rPr>
                <w:color w:val="auto"/>
              </w:rPr>
              <w:t>2020:Q</w:t>
            </w:r>
            <w:proofErr w:type="gramEnd"/>
            <w:r w:rsidRPr="00A029E3">
              <w:rPr>
                <w:color w:val="auto"/>
              </w:rPr>
              <w:t>2</w:t>
            </w:r>
          </w:p>
        </w:tc>
        <w:tc>
          <w:tcPr>
            <w:tcW w:w="1449" w:type="dxa"/>
            <w:shd w:val="clear" w:color="auto" w:fill="E7E6E6" w:themeFill="background2"/>
            <w:noWrap/>
            <w:vAlign w:val="center"/>
          </w:tcPr>
          <w:p w14:paraId="3D387E66" w14:textId="0E1E6388" w:rsidR="00351B27" w:rsidRPr="00A029E3" w:rsidRDefault="00AA5911" w:rsidP="00351B27">
            <w:pPr>
              <w:jc w:val="center"/>
            </w:pPr>
            <w:proofErr w:type="gramStart"/>
            <w:r>
              <w:rPr>
                <w:color w:val="auto"/>
              </w:rPr>
              <w:t>2019:Q</w:t>
            </w:r>
            <w:proofErr w:type="gramEnd"/>
            <w:r>
              <w:rPr>
                <w:color w:val="auto"/>
              </w:rPr>
              <w:t>2-2020:Q2</w:t>
            </w:r>
          </w:p>
        </w:tc>
      </w:tr>
      <w:tr w:rsidR="00A2045F" w:rsidRPr="004B4100" w14:paraId="42AE6BCE" w14:textId="25DCF86A" w:rsidTr="00C757FD">
        <w:trPr>
          <w:trHeight w:val="286"/>
          <w:jc w:val="center"/>
        </w:trPr>
        <w:tc>
          <w:tcPr>
            <w:tcW w:w="3145" w:type="dxa"/>
            <w:noWrap/>
            <w:hideMark/>
          </w:tcPr>
          <w:p w14:paraId="6927F29F" w14:textId="459120E9" w:rsidR="00A2045F" w:rsidRPr="00A029E3" w:rsidRDefault="00A2045F" w:rsidP="00A2045F">
            <w:pPr>
              <w:ind w:left="522"/>
            </w:pPr>
            <w:r w:rsidRPr="00A029E3">
              <w:t>Maine</w:t>
            </w:r>
          </w:p>
        </w:tc>
        <w:tc>
          <w:tcPr>
            <w:tcW w:w="1314" w:type="dxa"/>
            <w:noWrap/>
            <w:hideMark/>
          </w:tcPr>
          <w:p w14:paraId="3C93A83C" w14:textId="234360E1" w:rsidR="00A2045F" w:rsidRPr="00A029E3" w:rsidRDefault="00351B27" w:rsidP="00A2045F">
            <w:pPr>
              <w:ind w:right="240"/>
              <w:jc w:val="right"/>
            </w:pPr>
            <w:r w:rsidRPr="00A029E3">
              <w:t>2.7</w:t>
            </w:r>
          </w:p>
        </w:tc>
        <w:tc>
          <w:tcPr>
            <w:tcW w:w="1143" w:type="dxa"/>
            <w:noWrap/>
            <w:hideMark/>
          </w:tcPr>
          <w:p w14:paraId="07A9E3E9" w14:textId="46C1F770" w:rsidR="00A2045F" w:rsidRPr="00A029E3" w:rsidRDefault="00351B27" w:rsidP="00A2045F">
            <w:pPr>
              <w:ind w:right="240"/>
              <w:jc w:val="right"/>
            </w:pPr>
            <w:r w:rsidRPr="00A029E3">
              <w:t>3.2</w:t>
            </w:r>
          </w:p>
        </w:tc>
        <w:tc>
          <w:tcPr>
            <w:tcW w:w="1017" w:type="dxa"/>
            <w:noWrap/>
            <w:hideMark/>
          </w:tcPr>
          <w:p w14:paraId="1B991A85" w14:textId="06CBB083" w:rsidR="00A2045F" w:rsidRPr="00A029E3" w:rsidRDefault="00351B27" w:rsidP="00A2045F">
            <w:pPr>
              <w:ind w:right="240"/>
              <w:jc w:val="right"/>
            </w:pPr>
            <w:r w:rsidRPr="00A029E3">
              <w:t>4.2</w:t>
            </w:r>
          </w:p>
        </w:tc>
        <w:tc>
          <w:tcPr>
            <w:tcW w:w="1017" w:type="dxa"/>
            <w:noWrap/>
            <w:hideMark/>
          </w:tcPr>
          <w:p w14:paraId="5B9B0E9F" w14:textId="4FE298AC" w:rsidR="00A2045F" w:rsidRPr="00A029E3" w:rsidRDefault="00351B27" w:rsidP="00A2045F">
            <w:pPr>
              <w:ind w:right="240"/>
              <w:jc w:val="right"/>
            </w:pPr>
            <w:r w:rsidRPr="00A029E3">
              <w:t>40.5</w:t>
            </w:r>
          </w:p>
        </w:tc>
        <w:tc>
          <w:tcPr>
            <w:tcW w:w="1449" w:type="dxa"/>
            <w:noWrap/>
            <w:hideMark/>
          </w:tcPr>
          <w:p w14:paraId="668CCD57" w14:textId="7FF1C4A4" w:rsidR="00A2045F" w:rsidRPr="00A029E3" w:rsidRDefault="00351B27" w:rsidP="00A2045F">
            <w:pPr>
              <w:ind w:right="240"/>
              <w:jc w:val="center"/>
            </w:pPr>
            <w:r w:rsidRPr="00A029E3">
              <w:t>11.6</w:t>
            </w:r>
          </w:p>
        </w:tc>
      </w:tr>
      <w:tr w:rsidR="00A2045F" w:rsidRPr="004B4100" w14:paraId="3A9EBA32" w14:textId="1DA1B0A9" w:rsidTr="00C757FD">
        <w:trPr>
          <w:trHeight w:val="286"/>
          <w:jc w:val="center"/>
        </w:trPr>
        <w:tc>
          <w:tcPr>
            <w:tcW w:w="3145" w:type="dxa"/>
            <w:noWrap/>
            <w:hideMark/>
          </w:tcPr>
          <w:p w14:paraId="386A9893" w14:textId="55B8FF32" w:rsidR="00A2045F" w:rsidRPr="00A029E3" w:rsidRDefault="00A2045F" w:rsidP="00A2045F">
            <w:pPr>
              <w:ind w:left="522"/>
            </w:pPr>
            <w:r w:rsidRPr="00A029E3">
              <w:t>New England</w:t>
            </w:r>
          </w:p>
        </w:tc>
        <w:tc>
          <w:tcPr>
            <w:tcW w:w="1314" w:type="dxa"/>
            <w:noWrap/>
            <w:hideMark/>
          </w:tcPr>
          <w:p w14:paraId="6C6C17F7" w14:textId="4A7E9884" w:rsidR="00A2045F" w:rsidRPr="00A029E3" w:rsidRDefault="00351B27" w:rsidP="00A2045F">
            <w:pPr>
              <w:ind w:right="240"/>
              <w:jc w:val="right"/>
            </w:pPr>
            <w:r w:rsidRPr="00A029E3">
              <w:t>0.5</w:t>
            </w:r>
          </w:p>
        </w:tc>
        <w:tc>
          <w:tcPr>
            <w:tcW w:w="1143" w:type="dxa"/>
            <w:noWrap/>
            <w:hideMark/>
          </w:tcPr>
          <w:p w14:paraId="09E05366" w14:textId="41181965" w:rsidR="00A2045F" w:rsidRPr="00A029E3" w:rsidRDefault="00351B27" w:rsidP="00A2045F">
            <w:pPr>
              <w:ind w:right="240"/>
              <w:jc w:val="right"/>
            </w:pPr>
            <w:r w:rsidRPr="00A029E3">
              <w:t>2.2</w:t>
            </w:r>
          </w:p>
        </w:tc>
        <w:tc>
          <w:tcPr>
            <w:tcW w:w="1017" w:type="dxa"/>
            <w:noWrap/>
            <w:hideMark/>
          </w:tcPr>
          <w:p w14:paraId="7DEC1C7C" w14:textId="45B42C5D" w:rsidR="00A2045F" w:rsidRPr="00A029E3" w:rsidRDefault="00351B27" w:rsidP="00A2045F">
            <w:pPr>
              <w:ind w:right="240"/>
              <w:jc w:val="right"/>
            </w:pPr>
            <w:r w:rsidRPr="00A029E3">
              <w:t>4.3</w:t>
            </w:r>
          </w:p>
        </w:tc>
        <w:tc>
          <w:tcPr>
            <w:tcW w:w="1017" w:type="dxa"/>
            <w:noWrap/>
            <w:hideMark/>
          </w:tcPr>
          <w:p w14:paraId="660DB63C" w14:textId="0947E5B4" w:rsidR="00A2045F" w:rsidRPr="00A029E3" w:rsidRDefault="00351B27" w:rsidP="00A2045F">
            <w:pPr>
              <w:ind w:right="240"/>
              <w:jc w:val="right"/>
            </w:pPr>
            <w:r w:rsidRPr="00A029E3">
              <w:t>50.7</w:t>
            </w:r>
          </w:p>
        </w:tc>
        <w:tc>
          <w:tcPr>
            <w:tcW w:w="1449" w:type="dxa"/>
            <w:noWrap/>
            <w:hideMark/>
          </w:tcPr>
          <w:p w14:paraId="3714F8EF" w14:textId="26BE471D" w:rsidR="00A2045F" w:rsidRPr="00A029E3" w:rsidRDefault="00351B27" w:rsidP="00A2045F">
            <w:pPr>
              <w:ind w:right="240"/>
              <w:jc w:val="center"/>
            </w:pPr>
            <w:r w:rsidRPr="00A029E3">
              <w:t>12.7</w:t>
            </w:r>
          </w:p>
        </w:tc>
      </w:tr>
      <w:tr w:rsidR="00A2045F" w:rsidRPr="004B4100" w14:paraId="05B00123" w14:textId="14B0A20B" w:rsidTr="00C757FD">
        <w:trPr>
          <w:trHeight w:val="286"/>
          <w:jc w:val="center"/>
        </w:trPr>
        <w:tc>
          <w:tcPr>
            <w:tcW w:w="3145" w:type="dxa"/>
            <w:noWrap/>
            <w:hideMark/>
          </w:tcPr>
          <w:p w14:paraId="7659F40A" w14:textId="0B01961C" w:rsidR="00A2045F" w:rsidRPr="00A029E3" w:rsidRDefault="00A2045F" w:rsidP="00A2045F">
            <w:pPr>
              <w:ind w:left="522"/>
            </w:pPr>
            <w:r w:rsidRPr="00A029E3">
              <w:t>United States</w:t>
            </w:r>
          </w:p>
        </w:tc>
        <w:tc>
          <w:tcPr>
            <w:tcW w:w="1314" w:type="dxa"/>
            <w:noWrap/>
            <w:hideMark/>
          </w:tcPr>
          <w:p w14:paraId="73F428B4" w14:textId="605A83B5" w:rsidR="00A2045F" w:rsidRPr="00A029E3" w:rsidRDefault="00351B27" w:rsidP="00A2045F">
            <w:pPr>
              <w:ind w:right="240"/>
              <w:jc w:val="right"/>
            </w:pPr>
            <w:r w:rsidRPr="00A029E3">
              <w:t>2.0</w:t>
            </w:r>
          </w:p>
        </w:tc>
        <w:tc>
          <w:tcPr>
            <w:tcW w:w="1143" w:type="dxa"/>
            <w:noWrap/>
            <w:hideMark/>
          </w:tcPr>
          <w:p w14:paraId="78CA7201" w14:textId="2CF90A8D" w:rsidR="00A2045F" w:rsidRPr="00A029E3" w:rsidRDefault="00351B27" w:rsidP="00A2045F">
            <w:pPr>
              <w:ind w:right="240"/>
              <w:jc w:val="right"/>
            </w:pPr>
            <w:r w:rsidRPr="00A029E3">
              <w:t>2.9</w:t>
            </w:r>
          </w:p>
        </w:tc>
        <w:tc>
          <w:tcPr>
            <w:tcW w:w="1017" w:type="dxa"/>
            <w:noWrap/>
            <w:hideMark/>
          </w:tcPr>
          <w:p w14:paraId="098490DE" w14:textId="07252944" w:rsidR="00A2045F" w:rsidRPr="00A029E3" w:rsidRDefault="00351B27" w:rsidP="00A2045F">
            <w:pPr>
              <w:ind w:right="240"/>
              <w:jc w:val="right"/>
            </w:pPr>
            <w:r w:rsidRPr="00A029E3">
              <w:t>3.7</w:t>
            </w:r>
          </w:p>
        </w:tc>
        <w:tc>
          <w:tcPr>
            <w:tcW w:w="1017" w:type="dxa"/>
            <w:noWrap/>
            <w:hideMark/>
          </w:tcPr>
          <w:p w14:paraId="3DB65BE8" w14:textId="6DD3C2FF" w:rsidR="00A2045F" w:rsidRPr="00A029E3" w:rsidRDefault="00351B27" w:rsidP="00A2045F">
            <w:pPr>
              <w:ind w:right="240"/>
              <w:jc w:val="right"/>
            </w:pPr>
            <w:r w:rsidRPr="00A029E3">
              <w:t>33.6</w:t>
            </w:r>
          </w:p>
        </w:tc>
        <w:tc>
          <w:tcPr>
            <w:tcW w:w="1449" w:type="dxa"/>
            <w:noWrap/>
            <w:hideMark/>
          </w:tcPr>
          <w:p w14:paraId="17F0A328" w14:textId="35C98BE5" w:rsidR="00A2045F" w:rsidRPr="00A029E3" w:rsidRDefault="00351B27" w:rsidP="00A2045F">
            <w:pPr>
              <w:ind w:right="240"/>
              <w:jc w:val="center"/>
            </w:pPr>
            <w:r w:rsidRPr="00A029E3">
              <w:t>9.8</w:t>
            </w:r>
          </w:p>
        </w:tc>
      </w:tr>
      <w:tr w:rsidR="00351B27" w:rsidRPr="004B4100" w14:paraId="56FD69CF" w14:textId="14787EC5" w:rsidTr="00C757FD">
        <w:trPr>
          <w:trHeight w:val="286"/>
          <w:jc w:val="center"/>
        </w:trPr>
        <w:tc>
          <w:tcPr>
            <w:tcW w:w="3145" w:type="dxa"/>
            <w:shd w:val="clear" w:color="auto" w:fill="E7E6E6" w:themeFill="background2"/>
            <w:noWrap/>
            <w:vAlign w:val="center"/>
          </w:tcPr>
          <w:p w14:paraId="4C2859C1" w14:textId="77777777" w:rsidR="00351B27" w:rsidRPr="00A029E3" w:rsidRDefault="00351B27" w:rsidP="00351B27">
            <w:pPr>
              <w:ind w:left="162"/>
            </w:pPr>
            <w:r w:rsidRPr="00A029E3">
              <w:rPr>
                <w:b/>
              </w:rPr>
              <w:t>Wages &amp; Salaries</w:t>
            </w:r>
          </w:p>
        </w:tc>
        <w:tc>
          <w:tcPr>
            <w:tcW w:w="1314" w:type="dxa"/>
            <w:shd w:val="clear" w:color="auto" w:fill="E7E6E6" w:themeFill="background2"/>
            <w:noWrap/>
            <w:vAlign w:val="center"/>
          </w:tcPr>
          <w:p w14:paraId="43082A3D" w14:textId="1359549D" w:rsidR="00351B27" w:rsidRPr="00A029E3" w:rsidRDefault="00351B27" w:rsidP="00351B27">
            <w:pPr>
              <w:jc w:val="center"/>
            </w:pPr>
            <w:proofErr w:type="gramStart"/>
            <w:r w:rsidRPr="00A029E3">
              <w:rPr>
                <w:color w:val="auto"/>
              </w:rPr>
              <w:t>2019:Q</w:t>
            </w:r>
            <w:proofErr w:type="gramEnd"/>
            <w:r w:rsidRPr="00A029E3">
              <w:rPr>
                <w:color w:val="auto"/>
              </w:rPr>
              <w:t>3</w:t>
            </w:r>
          </w:p>
        </w:tc>
        <w:tc>
          <w:tcPr>
            <w:tcW w:w="1143" w:type="dxa"/>
            <w:shd w:val="clear" w:color="auto" w:fill="E7E6E6" w:themeFill="background2"/>
            <w:noWrap/>
            <w:vAlign w:val="center"/>
          </w:tcPr>
          <w:p w14:paraId="2B4939EE" w14:textId="27997E70" w:rsidR="00351B27" w:rsidRPr="00A029E3" w:rsidRDefault="00351B27" w:rsidP="00351B27">
            <w:pPr>
              <w:jc w:val="center"/>
            </w:pPr>
            <w:proofErr w:type="gramStart"/>
            <w:r w:rsidRPr="00A029E3">
              <w:rPr>
                <w:color w:val="auto"/>
              </w:rPr>
              <w:t>2019:Q</w:t>
            </w:r>
            <w:proofErr w:type="gramEnd"/>
            <w:r w:rsidRPr="00A029E3">
              <w:rPr>
                <w:color w:val="auto"/>
              </w:rPr>
              <w:t>4</w:t>
            </w:r>
          </w:p>
        </w:tc>
        <w:tc>
          <w:tcPr>
            <w:tcW w:w="1017" w:type="dxa"/>
            <w:shd w:val="clear" w:color="auto" w:fill="E7E6E6" w:themeFill="background2"/>
            <w:noWrap/>
            <w:vAlign w:val="center"/>
          </w:tcPr>
          <w:p w14:paraId="33403C26" w14:textId="425EC40C" w:rsidR="00351B27" w:rsidRPr="00A029E3" w:rsidRDefault="00351B27" w:rsidP="00351B27">
            <w:pPr>
              <w:jc w:val="center"/>
            </w:pPr>
            <w:proofErr w:type="gramStart"/>
            <w:r w:rsidRPr="00A029E3">
              <w:rPr>
                <w:color w:val="auto"/>
              </w:rPr>
              <w:t>2020:Q</w:t>
            </w:r>
            <w:proofErr w:type="gramEnd"/>
            <w:r w:rsidRPr="00A029E3">
              <w:rPr>
                <w:color w:val="auto"/>
              </w:rPr>
              <w:t>1</w:t>
            </w:r>
          </w:p>
        </w:tc>
        <w:tc>
          <w:tcPr>
            <w:tcW w:w="1017" w:type="dxa"/>
            <w:shd w:val="clear" w:color="auto" w:fill="E7E6E6" w:themeFill="background2"/>
            <w:noWrap/>
            <w:vAlign w:val="center"/>
          </w:tcPr>
          <w:p w14:paraId="42504BBB" w14:textId="6CE71406" w:rsidR="00351B27" w:rsidRPr="00A029E3" w:rsidRDefault="00351B27" w:rsidP="00351B27">
            <w:pPr>
              <w:jc w:val="center"/>
            </w:pPr>
            <w:proofErr w:type="gramStart"/>
            <w:r w:rsidRPr="00A029E3">
              <w:rPr>
                <w:color w:val="auto"/>
              </w:rPr>
              <w:t>2020:Q</w:t>
            </w:r>
            <w:proofErr w:type="gramEnd"/>
            <w:r w:rsidRPr="00A029E3">
              <w:rPr>
                <w:color w:val="auto"/>
              </w:rPr>
              <w:t>2</w:t>
            </w:r>
          </w:p>
        </w:tc>
        <w:tc>
          <w:tcPr>
            <w:tcW w:w="1449" w:type="dxa"/>
            <w:shd w:val="clear" w:color="auto" w:fill="E7E6E6" w:themeFill="background2"/>
            <w:noWrap/>
            <w:vAlign w:val="center"/>
          </w:tcPr>
          <w:p w14:paraId="1D761B2E" w14:textId="427C5EFF" w:rsidR="00351B27" w:rsidRPr="00A029E3" w:rsidRDefault="00AA5911" w:rsidP="00351B27">
            <w:pPr>
              <w:jc w:val="center"/>
            </w:pPr>
            <w:proofErr w:type="gramStart"/>
            <w:r>
              <w:rPr>
                <w:color w:val="auto"/>
              </w:rPr>
              <w:t>2019:Q</w:t>
            </w:r>
            <w:proofErr w:type="gramEnd"/>
            <w:r>
              <w:rPr>
                <w:color w:val="auto"/>
              </w:rPr>
              <w:t>2-2020:Q2</w:t>
            </w:r>
          </w:p>
        </w:tc>
      </w:tr>
      <w:tr w:rsidR="00A2045F" w:rsidRPr="004B4100" w14:paraId="3AB8F886" w14:textId="49EEBE7A" w:rsidTr="00C757FD">
        <w:trPr>
          <w:trHeight w:val="286"/>
          <w:jc w:val="center"/>
        </w:trPr>
        <w:tc>
          <w:tcPr>
            <w:tcW w:w="3145" w:type="dxa"/>
            <w:noWrap/>
            <w:hideMark/>
          </w:tcPr>
          <w:p w14:paraId="52D10995" w14:textId="0803CB83" w:rsidR="00A2045F" w:rsidRPr="004B4100" w:rsidRDefault="00A2045F" w:rsidP="00A2045F">
            <w:pPr>
              <w:ind w:left="522"/>
            </w:pPr>
            <w:r w:rsidRPr="003304DC">
              <w:t>Maine</w:t>
            </w:r>
          </w:p>
        </w:tc>
        <w:tc>
          <w:tcPr>
            <w:tcW w:w="1314" w:type="dxa"/>
            <w:noWrap/>
            <w:hideMark/>
          </w:tcPr>
          <w:p w14:paraId="38697BBC" w14:textId="6013F083" w:rsidR="00A2045F" w:rsidRPr="004B4100" w:rsidRDefault="00E853BA" w:rsidP="00A2045F">
            <w:pPr>
              <w:ind w:right="240"/>
              <w:jc w:val="right"/>
            </w:pPr>
            <w:r>
              <w:t>4.0</w:t>
            </w:r>
            <w:r w:rsidR="00351B27">
              <w:t>4.2</w:t>
            </w:r>
          </w:p>
        </w:tc>
        <w:tc>
          <w:tcPr>
            <w:tcW w:w="1143" w:type="dxa"/>
            <w:noWrap/>
            <w:hideMark/>
          </w:tcPr>
          <w:p w14:paraId="41BCB6A2" w14:textId="1ECF0446" w:rsidR="00A2045F" w:rsidRPr="004B4100" w:rsidRDefault="00351B27" w:rsidP="00A2045F">
            <w:pPr>
              <w:ind w:right="240"/>
              <w:jc w:val="right"/>
            </w:pPr>
            <w:r>
              <w:t>4.6</w:t>
            </w:r>
          </w:p>
        </w:tc>
        <w:tc>
          <w:tcPr>
            <w:tcW w:w="1017" w:type="dxa"/>
            <w:noWrap/>
            <w:hideMark/>
          </w:tcPr>
          <w:p w14:paraId="7FB74ECC" w14:textId="42095D84" w:rsidR="00A2045F" w:rsidRPr="004B4100" w:rsidRDefault="00351B27" w:rsidP="00A2045F">
            <w:pPr>
              <w:ind w:right="240"/>
              <w:jc w:val="right"/>
            </w:pPr>
            <w:r>
              <w:t>3.5</w:t>
            </w:r>
          </w:p>
        </w:tc>
        <w:tc>
          <w:tcPr>
            <w:tcW w:w="1017" w:type="dxa"/>
            <w:noWrap/>
            <w:hideMark/>
          </w:tcPr>
          <w:p w14:paraId="3656E22B" w14:textId="36B55E98" w:rsidR="00A2045F" w:rsidRPr="004B4100" w:rsidRDefault="00351B27" w:rsidP="00A2045F">
            <w:pPr>
              <w:ind w:right="240"/>
              <w:jc w:val="right"/>
            </w:pPr>
            <w:r>
              <w:t>-28.8</w:t>
            </w:r>
          </w:p>
        </w:tc>
        <w:tc>
          <w:tcPr>
            <w:tcW w:w="1449" w:type="dxa"/>
            <w:noWrap/>
            <w:hideMark/>
          </w:tcPr>
          <w:p w14:paraId="3E2F616A" w14:textId="31F69796" w:rsidR="00A2045F" w:rsidRPr="004B4100" w:rsidRDefault="00A029E3" w:rsidP="00A2045F">
            <w:pPr>
              <w:ind w:right="240"/>
              <w:jc w:val="center"/>
            </w:pPr>
            <w:r>
              <w:t>-5.3</w:t>
            </w:r>
          </w:p>
        </w:tc>
      </w:tr>
      <w:tr w:rsidR="00A2045F" w:rsidRPr="004B4100" w14:paraId="73E2AA8D" w14:textId="22AF1B05" w:rsidTr="00C757FD">
        <w:trPr>
          <w:trHeight w:val="286"/>
          <w:jc w:val="center"/>
        </w:trPr>
        <w:tc>
          <w:tcPr>
            <w:tcW w:w="3145" w:type="dxa"/>
            <w:noWrap/>
            <w:hideMark/>
          </w:tcPr>
          <w:p w14:paraId="6522FE6D" w14:textId="14C52609" w:rsidR="00A2045F" w:rsidRPr="004B4100" w:rsidRDefault="00A2045F" w:rsidP="00A2045F">
            <w:pPr>
              <w:ind w:left="522"/>
            </w:pPr>
            <w:r w:rsidRPr="003304DC">
              <w:t>New England</w:t>
            </w:r>
          </w:p>
        </w:tc>
        <w:tc>
          <w:tcPr>
            <w:tcW w:w="1314" w:type="dxa"/>
            <w:noWrap/>
            <w:hideMark/>
          </w:tcPr>
          <w:p w14:paraId="0A877BF6" w14:textId="3E69366E" w:rsidR="00A2045F" w:rsidRPr="004B4100" w:rsidRDefault="00351B27" w:rsidP="00A2045F">
            <w:pPr>
              <w:ind w:right="240"/>
              <w:jc w:val="right"/>
            </w:pPr>
            <w:r>
              <w:t>0.2</w:t>
            </w:r>
          </w:p>
        </w:tc>
        <w:tc>
          <w:tcPr>
            <w:tcW w:w="1143" w:type="dxa"/>
            <w:noWrap/>
            <w:hideMark/>
          </w:tcPr>
          <w:p w14:paraId="0AAB301D" w14:textId="00767C78" w:rsidR="00A2045F" w:rsidRPr="004B4100" w:rsidRDefault="00351B27" w:rsidP="00A2045F">
            <w:pPr>
              <w:ind w:right="240"/>
              <w:jc w:val="right"/>
            </w:pPr>
            <w:r>
              <w:t>3.5</w:t>
            </w:r>
          </w:p>
        </w:tc>
        <w:tc>
          <w:tcPr>
            <w:tcW w:w="1017" w:type="dxa"/>
            <w:noWrap/>
            <w:hideMark/>
          </w:tcPr>
          <w:p w14:paraId="64616E4C" w14:textId="00B57649" w:rsidR="00A2045F" w:rsidRPr="004B4100" w:rsidRDefault="00351B27" w:rsidP="00A2045F">
            <w:pPr>
              <w:ind w:right="240"/>
              <w:jc w:val="right"/>
            </w:pPr>
            <w:r>
              <w:t>4.7</w:t>
            </w:r>
          </w:p>
        </w:tc>
        <w:tc>
          <w:tcPr>
            <w:tcW w:w="1017" w:type="dxa"/>
            <w:noWrap/>
            <w:hideMark/>
          </w:tcPr>
          <w:p w14:paraId="08D1486F" w14:textId="0E7AB2EC" w:rsidR="00A2045F" w:rsidRPr="004B4100" w:rsidRDefault="00351B27" w:rsidP="00A2045F">
            <w:pPr>
              <w:ind w:right="240"/>
              <w:jc w:val="right"/>
            </w:pPr>
            <w:r>
              <w:t>-25.6</w:t>
            </w:r>
          </w:p>
        </w:tc>
        <w:tc>
          <w:tcPr>
            <w:tcW w:w="1449" w:type="dxa"/>
            <w:noWrap/>
            <w:hideMark/>
          </w:tcPr>
          <w:p w14:paraId="5FD4703C" w14:textId="35B9D8D2" w:rsidR="00A2045F" w:rsidRPr="004B4100" w:rsidRDefault="00A029E3" w:rsidP="00A2045F">
            <w:pPr>
              <w:ind w:right="240"/>
              <w:jc w:val="center"/>
            </w:pPr>
            <w:r>
              <w:t>-5.2</w:t>
            </w:r>
          </w:p>
        </w:tc>
      </w:tr>
      <w:tr w:rsidR="00A2045F" w:rsidRPr="004B4100" w14:paraId="526960F1" w14:textId="190A1FCC" w:rsidTr="00C757FD">
        <w:trPr>
          <w:trHeight w:val="286"/>
          <w:jc w:val="center"/>
        </w:trPr>
        <w:tc>
          <w:tcPr>
            <w:tcW w:w="3145" w:type="dxa"/>
            <w:noWrap/>
            <w:hideMark/>
          </w:tcPr>
          <w:p w14:paraId="59B5CD9F" w14:textId="61878D11" w:rsidR="00A2045F" w:rsidRPr="004B4100" w:rsidRDefault="00A2045F" w:rsidP="00A2045F">
            <w:pPr>
              <w:ind w:left="522"/>
            </w:pPr>
            <w:r w:rsidRPr="003304DC">
              <w:t>United States</w:t>
            </w:r>
          </w:p>
        </w:tc>
        <w:tc>
          <w:tcPr>
            <w:tcW w:w="1314" w:type="dxa"/>
            <w:noWrap/>
            <w:hideMark/>
          </w:tcPr>
          <w:p w14:paraId="2E9E23E8" w14:textId="40FF0E6B" w:rsidR="00A2045F" w:rsidRPr="004B4100" w:rsidRDefault="00351B27" w:rsidP="00A2045F">
            <w:pPr>
              <w:ind w:right="240"/>
              <w:jc w:val="right"/>
            </w:pPr>
            <w:r>
              <w:t>1.6</w:t>
            </w:r>
          </w:p>
        </w:tc>
        <w:tc>
          <w:tcPr>
            <w:tcW w:w="1143" w:type="dxa"/>
            <w:noWrap/>
            <w:hideMark/>
          </w:tcPr>
          <w:p w14:paraId="03D43847" w14:textId="712719CF" w:rsidR="00A2045F" w:rsidRPr="004B4100" w:rsidRDefault="00351B27" w:rsidP="00A2045F">
            <w:pPr>
              <w:ind w:right="240"/>
              <w:jc w:val="right"/>
            </w:pPr>
            <w:r>
              <w:t>4.9</w:t>
            </w:r>
          </w:p>
        </w:tc>
        <w:tc>
          <w:tcPr>
            <w:tcW w:w="1017" w:type="dxa"/>
            <w:noWrap/>
            <w:hideMark/>
          </w:tcPr>
          <w:p w14:paraId="7F7FA9B8" w14:textId="58654D27" w:rsidR="00A2045F" w:rsidRPr="004B4100" w:rsidRDefault="00351B27" w:rsidP="00A2045F">
            <w:pPr>
              <w:ind w:right="240"/>
              <w:jc w:val="right"/>
            </w:pPr>
            <w:r>
              <w:t>4.4</w:t>
            </w:r>
          </w:p>
        </w:tc>
        <w:tc>
          <w:tcPr>
            <w:tcW w:w="1017" w:type="dxa"/>
            <w:noWrap/>
            <w:hideMark/>
          </w:tcPr>
          <w:p w14:paraId="5F9F054F" w14:textId="7E7400FE" w:rsidR="00A2045F" w:rsidRPr="004B4100" w:rsidRDefault="00351B27" w:rsidP="00A2045F">
            <w:pPr>
              <w:ind w:right="240"/>
              <w:jc w:val="right"/>
            </w:pPr>
            <w:r>
              <w:t>-25.8</w:t>
            </w:r>
          </w:p>
        </w:tc>
        <w:tc>
          <w:tcPr>
            <w:tcW w:w="1449" w:type="dxa"/>
            <w:noWrap/>
            <w:hideMark/>
          </w:tcPr>
          <w:p w14:paraId="729B7F23" w14:textId="0AB8551A" w:rsidR="00A2045F" w:rsidRPr="004B4100" w:rsidRDefault="00A029E3" w:rsidP="00A2045F">
            <w:pPr>
              <w:ind w:right="240"/>
              <w:jc w:val="center"/>
            </w:pPr>
            <w:r>
              <w:t>-4.7</w:t>
            </w:r>
          </w:p>
        </w:tc>
      </w:tr>
    </w:tbl>
    <w:p w14:paraId="31441841" w14:textId="77777777" w:rsidR="000D6CF5" w:rsidRPr="003278E0" w:rsidRDefault="000D6CF5" w:rsidP="003278E0">
      <w:pPr>
        <w:rPr>
          <w:rFonts w:eastAsiaTheme="majorEastAsia"/>
          <w:b/>
          <w:color w:val="auto"/>
          <w:sz w:val="32"/>
          <w:szCs w:val="32"/>
        </w:rPr>
      </w:pPr>
      <w:r>
        <w:br w:type="page"/>
      </w:r>
    </w:p>
    <w:p w14:paraId="3E6E2C40" w14:textId="77777777" w:rsidR="002B09D0" w:rsidRDefault="002B09D0" w:rsidP="002B09D0">
      <w:pPr>
        <w:pStyle w:val="Heading1"/>
        <w:pBdr>
          <w:bottom w:val="single" w:sz="4" w:space="1" w:color="auto"/>
        </w:pBdr>
      </w:pPr>
      <w:r>
        <w:lastRenderedPageBreak/>
        <w:t>Annual Indicators</w:t>
      </w:r>
    </w:p>
    <w:p w14:paraId="23A46F90" w14:textId="77777777" w:rsidR="002B09D0" w:rsidRDefault="002B09D0" w:rsidP="002B09D0">
      <w:pPr>
        <w:spacing w:after="0"/>
      </w:pPr>
    </w:p>
    <w:p w14:paraId="7658B8C2" w14:textId="77777777" w:rsidR="002B09D0" w:rsidRDefault="002B09D0" w:rsidP="002B09D0">
      <w:pPr>
        <w:spacing w:after="0"/>
      </w:pPr>
      <w:r w:rsidRPr="00BC3547">
        <w:t>Indicators summarized below are updated annually on various release dates and provide a general summary of Maine’s demographic and economic status.</w:t>
      </w:r>
      <w:r>
        <w:t xml:space="preserve"> </w:t>
      </w:r>
    </w:p>
    <w:p w14:paraId="44B4D553" w14:textId="77777777" w:rsidR="002B09D0" w:rsidRPr="009E6CE0" w:rsidRDefault="002B09D0" w:rsidP="002B09D0">
      <w:pPr>
        <w:spacing w:after="0"/>
      </w:pPr>
    </w:p>
    <w:tbl>
      <w:tblPr>
        <w:tblStyle w:val="TableGrid"/>
        <w:tblW w:w="10952" w:type="dxa"/>
        <w:jc w:val="center"/>
        <w:tblLook w:val="04A0" w:firstRow="1" w:lastRow="0" w:firstColumn="1" w:lastColumn="0" w:noHBand="0" w:noVBand="1"/>
      </w:tblPr>
      <w:tblGrid>
        <w:gridCol w:w="1975"/>
        <w:gridCol w:w="4500"/>
        <w:gridCol w:w="1170"/>
        <w:gridCol w:w="1710"/>
        <w:gridCol w:w="1597"/>
      </w:tblGrid>
      <w:tr w:rsidR="002B09D0" w:rsidRPr="009E6CE0" w14:paraId="7F43ED07" w14:textId="77777777" w:rsidTr="00351B27">
        <w:trPr>
          <w:trHeight w:val="271"/>
          <w:jc w:val="center"/>
        </w:trPr>
        <w:tc>
          <w:tcPr>
            <w:tcW w:w="1975" w:type="dxa"/>
            <w:shd w:val="clear" w:color="auto" w:fill="E7E6E6" w:themeFill="background2"/>
          </w:tcPr>
          <w:p w14:paraId="6868ABE3" w14:textId="77777777" w:rsidR="002B09D0" w:rsidRPr="009E6CE0" w:rsidRDefault="002B09D0" w:rsidP="00351B27">
            <w:pPr>
              <w:rPr>
                <w:b/>
              </w:rPr>
            </w:pPr>
            <w:r>
              <w:rPr>
                <w:b/>
              </w:rPr>
              <w:t>Reference Period</w:t>
            </w:r>
          </w:p>
        </w:tc>
        <w:tc>
          <w:tcPr>
            <w:tcW w:w="4500" w:type="dxa"/>
            <w:shd w:val="clear" w:color="auto" w:fill="E7E6E6" w:themeFill="background2"/>
          </w:tcPr>
          <w:p w14:paraId="12972265" w14:textId="77777777" w:rsidR="002B09D0" w:rsidRPr="009E6CE0" w:rsidRDefault="002B09D0" w:rsidP="00351B27">
            <w:pPr>
              <w:rPr>
                <w:b/>
              </w:rPr>
            </w:pPr>
          </w:p>
        </w:tc>
        <w:tc>
          <w:tcPr>
            <w:tcW w:w="1170" w:type="dxa"/>
            <w:shd w:val="clear" w:color="auto" w:fill="E7E6E6" w:themeFill="background2"/>
          </w:tcPr>
          <w:p w14:paraId="4B0F4AFE" w14:textId="77777777" w:rsidR="002B09D0" w:rsidRPr="009E6CE0" w:rsidRDefault="002B09D0" w:rsidP="00351B27">
            <w:pPr>
              <w:jc w:val="center"/>
              <w:rPr>
                <w:b/>
              </w:rPr>
            </w:pPr>
            <w:r w:rsidRPr="009E6CE0">
              <w:rPr>
                <w:b/>
              </w:rPr>
              <w:t>Maine</w:t>
            </w:r>
          </w:p>
        </w:tc>
        <w:tc>
          <w:tcPr>
            <w:tcW w:w="1710" w:type="dxa"/>
            <w:shd w:val="clear" w:color="auto" w:fill="E7E6E6" w:themeFill="background2"/>
          </w:tcPr>
          <w:p w14:paraId="24BCC4FF" w14:textId="77777777" w:rsidR="002B09D0" w:rsidRPr="009E6CE0" w:rsidRDefault="002B09D0" w:rsidP="00351B27">
            <w:pPr>
              <w:jc w:val="center"/>
              <w:rPr>
                <w:b/>
              </w:rPr>
            </w:pPr>
            <w:r w:rsidRPr="009E6CE0">
              <w:rPr>
                <w:b/>
              </w:rPr>
              <w:t>New England</w:t>
            </w:r>
          </w:p>
        </w:tc>
        <w:tc>
          <w:tcPr>
            <w:tcW w:w="1597" w:type="dxa"/>
            <w:shd w:val="clear" w:color="auto" w:fill="E7E6E6" w:themeFill="background2"/>
          </w:tcPr>
          <w:p w14:paraId="78DE327D" w14:textId="77777777" w:rsidR="002B09D0" w:rsidRPr="009E6CE0" w:rsidRDefault="002B09D0" w:rsidP="00351B27">
            <w:pPr>
              <w:jc w:val="center"/>
              <w:rPr>
                <w:b/>
              </w:rPr>
            </w:pPr>
            <w:r w:rsidRPr="009E6CE0">
              <w:rPr>
                <w:b/>
              </w:rPr>
              <w:t>United States</w:t>
            </w:r>
          </w:p>
        </w:tc>
      </w:tr>
      <w:tr w:rsidR="002B09D0" w14:paraId="5E550141" w14:textId="77777777" w:rsidTr="00351B27">
        <w:trPr>
          <w:trHeight w:val="271"/>
          <w:jc w:val="center"/>
        </w:trPr>
        <w:tc>
          <w:tcPr>
            <w:tcW w:w="1975" w:type="dxa"/>
            <w:vAlign w:val="center"/>
          </w:tcPr>
          <w:p w14:paraId="6BE91D0D" w14:textId="77777777" w:rsidR="002B09D0" w:rsidRPr="00577084" w:rsidRDefault="002B09D0" w:rsidP="00351B27">
            <w:r w:rsidRPr="00AE1572">
              <w:t>201</w:t>
            </w:r>
            <w:r>
              <w:t>9</w:t>
            </w:r>
          </w:p>
        </w:tc>
        <w:tc>
          <w:tcPr>
            <w:tcW w:w="4500" w:type="dxa"/>
            <w:vAlign w:val="center"/>
          </w:tcPr>
          <w:p w14:paraId="690C7122" w14:textId="77777777" w:rsidR="002B09D0" w:rsidRDefault="002B09D0" w:rsidP="00351B27">
            <w:r w:rsidRPr="00AE1572">
              <w:t>Total population</w:t>
            </w:r>
          </w:p>
        </w:tc>
        <w:tc>
          <w:tcPr>
            <w:tcW w:w="1170" w:type="dxa"/>
            <w:vAlign w:val="center"/>
          </w:tcPr>
          <w:p w14:paraId="1D5D1778" w14:textId="77777777" w:rsidR="002B09D0" w:rsidRDefault="002B09D0" w:rsidP="00351B27">
            <w:pPr>
              <w:jc w:val="center"/>
            </w:pPr>
            <w:r w:rsidRPr="00AE1572">
              <w:t>1,</w:t>
            </w:r>
            <w:r>
              <w:t>344,212</w:t>
            </w:r>
          </w:p>
        </w:tc>
        <w:tc>
          <w:tcPr>
            <w:tcW w:w="1710" w:type="dxa"/>
            <w:vAlign w:val="center"/>
          </w:tcPr>
          <w:p w14:paraId="175A2293" w14:textId="77777777" w:rsidR="002B09D0" w:rsidRPr="00FF4AE8" w:rsidRDefault="002B09D0" w:rsidP="00351B27">
            <w:pPr>
              <w:jc w:val="center"/>
            </w:pPr>
            <w:r>
              <w:t>14,845,063</w:t>
            </w:r>
          </w:p>
        </w:tc>
        <w:tc>
          <w:tcPr>
            <w:tcW w:w="1597" w:type="dxa"/>
            <w:vAlign w:val="center"/>
          </w:tcPr>
          <w:p w14:paraId="77ED1BEB" w14:textId="77777777" w:rsidR="002B09D0" w:rsidRDefault="002B09D0" w:rsidP="00351B27">
            <w:pPr>
              <w:jc w:val="center"/>
            </w:pPr>
            <w:r>
              <w:t>328,239,523</w:t>
            </w:r>
          </w:p>
        </w:tc>
      </w:tr>
      <w:tr w:rsidR="002B09D0" w14:paraId="69B431C7" w14:textId="77777777" w:rsidTr="00351B27">
        <w:trPr>
          <w:trHeight w:val="275"/>
          <w:jc w:val="center"/>
        </w:trPr>
        <w:tc>
          <w:tcPr>
            <w:tcW w:w="1975" w:type="dxa"/>
            <w:vAlign w:val="center"/>
          </w:tcPr>
          <w:p w14:paraId="7E1DF041" w14:textId="77777777" w:rsidR="002B09D0" w:rsidRDefault="002B09D0" w:rsidP="00351B27">
            <w:r w:rsidRPr="00AE1572">
              <w:t>201</w:t>
            </w:r>
            <w:r>
              <w:t>8</w:t>
            </w:r>
            <w:r w:rsidRPr="00AE1572">
              <w:t>-201</w:t>
            </w:r>
            <w:r>
              <w:t>9</w:t>
            </w:r>
          </w:p>
        </w:tc>
        <w:tc>
          <w:tcPr>
            <w:tcW w:w="4500" w:type="dxa"/>
            <w:vAlign w:val="center"/>
          </w:tcPr>
          <w:p w14:paraId="5D96DF0E" w14:textId="77777777" w:rsidR="002B09D0" w:rsidRDefault="002B09D0" w:rsidP="00351B27">
            <w:r w:rsidRPr="00AE1572">
              <w:t>Annual population percent change</w:t>
            </w:r>
          </w:p>
        </w:tc>
        <w:tc>
          <w:tcPr>
            <w:tcW w:w="1170" w:type="dxa"/>
            <w:vAlign w:val="center"/>
          </w:tcPr>
          <w:p w14:paraId="7FF7F639" w14:textId="77777777" w:rsidR="002B09D0" w:rsidRPr="00FF4AE8" w:rsidRDefault="002B09D0" w:rsidP="00351B27">
            <w:pPr>
              <w:jc w:val="center"/>
            </w:pPr>
            <w:r w:rsidRPr="00AE1572">
              <w:t>0.</w:t>
            </w:r>
            <w:r>
              <w:t>4</w:t>
            </w:r>
            <w:r w:rsidRPr="00AE1572">
              <w:t>%</w:t>
            </w:r>
          </w:p>
        </w:tc>
        <w:tc>
          <w:tcPr>
            <w:tcW w:w="1710" w:type="dxa"/>
            <w:vAlign w:val="center"/>
          </w:tcPr>
          <w:p w14:paraId="66ADD640" w14:textId="77777777" w:rsidR="002B09D0" w:rsidRDefault="002B09D0" w:rsidP="00351B27">
            <w:pPr>
              <w:jc w:val="center"/>
            </w:pPr>
            <w:r w:rsidRPr="00AE1572">
              <w:t>0.</w:t>
            </w:r>
            <w:r>
              <w:t>1</w:t>
            </w:r>
            <w:r w:rsidRPr="00AE1572">
              <w:t>%</w:t>
            </w:r>
          </w:p>
        </w:tc>
        <w:tc>
          <w:tcPr>
            <w:tcW w:w="1597" w:type="dxa"/>
            <w:vAlign w:val="center"/>
          </w:tcPr>
          <w:p w14:paraId="360144AB" w14:textId="77777777" w:rsidR="002B09D0" w:rsidRPr="00FF4AE8" w:rsidRDefault="002B09D0" w:rsidP="00351B27">
            <w:pPr>
              <w:jc w:val="center"/>
            </w:pPr>
            <w:r w:rsidRPr="00AE1572">
              <w:t>0.</w:t>
            </w:r>
            <w:r>
              <w:t>5</w:t>
            </w:r>
            <w:r w:rsidRPr="00AE1572">
              <w:t>%</w:t>
            </w:r>
          </w:p>
        </w:tc>
      </w:tr>
      <w:tr w:rsidR="002B09D0" w14:paraId="3FFA170A" w14:textId="77777777" w:rsidTr="00351B27">
        <w:trPr>
          <w:trHeight w:val="275"/>
          <w:jc w:val="center"/>
        </w:trPr>
        <w:tc>
          <w:tcPr>
            <w:tcW w:w="1975" w:type="dxa"/>
            <w:vAlign w:val="center"/>
          </w:tcPr>
          <w:p w14:paraId="40E6A172" w14:textId="77777777" w:rsidR="002B09D0" w:rsidRDefault="002B09D0" w:rsidP="00351B27">
            <w:r w:rsidRPr="00AE1572">
              <w:t>2010-201</w:t>
            </w:r>
            <w:r>
              <w:t>9</w:t>
            </w:r>
          </w:p>
        </w:tc>
        <w:tc>
          <w:tcPr>
            <w:tcW w:w="4500" w:type="dxa"/>
            <w:vAlign w:val="center"/>
          </w:tcPr>
          <w:p w14:paraId="6ACC5972" w14:textId="77777777" w:rsidR="002B09D0" w:rsidRDefault="002B09D0" w:rsidP="00351B27">
            <w:r w:rsidRPr="00AE1572">
              <w:t>Cumulative population percent change</w:t>
            </w:r>
          </w:p>
        </w:tc>
        <w:tc>
          <w:tcPr>
            <w:tcW w:w="1170" w:type="dxa"/>
            <w:vAlign w:val="center"/>
          </w:tcPr>
          <w:p w14:paraId="3C904BBF" w14:textId="77777777" w:rsidR="002B09D0" w:rsidRDefault="002B09D0" w:rsidP="00351B27">
            <w:pPr>
              <w:jc w:val="center"/>
            </w:pPr>
            <w:r>
              <w:t>1.2</w:t>
            </w:r>
            <w:r w:rsidRPr="00AE1572">
              <w:t>%</w:t>
            </w:r>
          </w:p>
        </w:tc>
        <w:tc>
          <w:tcPr>
            <w:tcW w:w="1710" w:type="dxa"/>
            <w:vAlign w:val="center"/>
          </w:tcPr>
          <w:p w14:paraId="06B6B66E" w14:textId="77777777" w:rsidR="002B09D0" w:rsidRPr="00FF4AE8" w:rsidRDefault="002B09D0" w:rsidP="00351B27">
            <w:pPr>
              <w:jc w:val="center"/>
            </w:pPr>
            <w:r w:rsidRPr="00AE1572">
              <w:t>2.</w:t>
            </w:r>
            <w:r>
              <w:t>8</w:t>
            </w:r>
            <w:r w:rsidRPr="00AE1572">
              <w:t>%</w:t>
            </w:r>
          </w:p>
        </w:tc>
        <w:tc>
          <w:tcPr>
            <w:tcW w:w="1597" w:type="dxa"/>
            <w:vAlign w:val="center"/>
          </w:tcPr>
          <w:p w14:paraId="2A815DD9" w14:textId="77777777" w:rsidR="002B09D0" w:rsidRDefault="002B09D0" w:rsidP="00351B27">
            <w:pPr>
              <w:jc w:val="center"/>
            </w:pPr>
            <w:r w:rsidRPr="00AE1572">
              <w:t>6.</w:t>
            </w:r>
            <w:r>
              <w:t>3</w:t>
            </w:r>
            <w:r w:rsidRPr="00AE1572">
              <w:t>%</w:t>
            </w:r>
          </w:p>
        </w:tc>
      </w:tr>
      <w:tr w:rsidR="002B09D0" w14:paraId="1F2C15B3" w14:textId="77777777" w:rsidTr="00351B27">
        <w:trPr>
          <w:trHeight w:val="275"/>
          <w:jc w:val="center"/>
        </w:trPr>
        <w:tc>
          <w:tcPr>
            <w:tcW w:w="1975" w:type="dxa"/>
            <w:vAlign w:val="center"/>
          </w:tcPr>
          <w:p w14:paraId="78529FDD" w14:textId="77777777" w:rsidR="002B09D0" w:rsidRPr="00466002" w:rsidRDefault="002B09D0" w:rsidP="00351B27">
            <w:r w:rsidRPr="00466002">
              <w:t>2019</w:t>
            </w:r>
          </w:p>
        </w:tc>
        <w:tc>
          <w:tcPr>
            <w:tcW w:w="4500" w:type="dxa"/>
            <w:vAlign w:val="center"/>
          </w:tcPr>
          <w:p w14:paraId="14CBDB32" w14:textId="77777777" w:rsidR="002B09D0" w:rsidRPr="00466002" w:rsidRDefault="002B09D0" w:rsidP="00351B27">
            <w:r w:rsidRPr="00466002">
              <w:t>Births</w:t>
            </w:r>
          </w:p>
        </w:tc>
        <w:tc>
          <w:tcPr>
            <w:tcW w:w="1170" w:type="dxa"/>
            <w:vAlign w:val="center"/>
          </w:tcPr>
          <w:p w14:paraId="6BA4D505" w14:textId="77777777" w:rsidR="002B09D0" w:rsidRPr="00466002" w:rsidRDefault="002B09D0" w:rsidP="00351B27">
            <w:pPr>
              <w:jc w:val="center"/>
            </w:pPr>
            <w:r w:rsidRPr="00466002">
              <w:t>12,073</w:t>
            </w:r>
          </w:p>
        </w:tc>
        <w:tc>
          <w:tcPr>
            <w:tcW w:w="1710" w:type="dxa"/>
            <w:vAlign w:val="center"/>
          </w:tcPr>
          <w:p w14:paraId="2D8D0213" w14:textId="77777777" w:rsidR="002B09D0" w:rsidRPr="00466002" w:rsidRDefault="002B09D0" w:rsidP="00351B27">
            <w:pPr>
              <w:jc w:val="center"/>
            </w:pPr>
            <w:r w:rsidRPr="00466002">
              <w:t>145,125</w:t>
            </w:r>
          </w:p>
        </w:tc>
        <w:tc>
          <w:tcPr>
            <w:tcW w:w="1597" w:type="dxa"/>
            <w:vAlign w:val="center"/>
          </w:tcPr>
          <w:p w14:paraId="1595640D" w14:textId="77777777" w:rsidR="002B09D0" w:rsidRPr="00466002" w:rsidRDefault="002B09D0" w:rsidP="00351B27">
            <w:pPr>
              <w:jc w:val="center"/>
            </w:pPr>
            <w:r w:rsidRPr="00466002">
              <w:t>3,791,712</w:t>
            </w:r>
          </w:p>
        </w:tc>
      </w:tr>
      <w:tr w:rsidR="002B09D0" w14:paraId="05A65FFE" w14:textId="77777777" w:rsidTr="00351B27">
        <w:trPr>
          <w:trHeight w:val="275"/>
          <w:jc w:val="center"/>
        </w:trPr>
        <w:tc>
          <w:tcPr>
            <w:tcW w:w="1975" w:type="dxa"/>
            <w:vAlign w:val="center"/>
          </w:tcPr>
          <w:p w14:paraId="794938BC" w14:textId="77777777" w:rsidR="002B09D0" w:rsidRPr="00466002" w:rsidRDefault="002B09D0" w:rsidP="00351B27">
            <w:r w:rsidRPr="00466002">
              <w:t>2019</w:t>
            </w:r>
          </w:p>
        </w:tc>
        <w:tc>
          <w:tcPr>
            <w:tcW w:w="4500" w:type="dxa"/>
            <w:vAlign w:val="center"/>
          </w:tcPr>
          <w:p w14:paraId="091273CB" w14:textId="77777777" w:rsidR="002B09D0" w:rsidRPr="00466002" w:rsidRDefault="002B09D0" w:rsidP="00351B27">
            <w:r w:rsidRPr="00466002">
              <w:t>Deaths</w:t>
            </w:r>
          </w:p>
        </w:tc>
        <w:tc>
          <w:tcPr>
            <w:tcW w:w="1170" w:type="dxa"/>
            <w:vAlign w:val="center"/>
          </w:tcPr>
          <w:p w14:paraId="23F0F103" w14:textId="77777777" w:rsidR="002B09D0" w:rsidRPr="00466002" w:rsidRDefault="002B09D0" w:rsidP="00351B27">
            <w:pPr>
              <w:jc w:val="center"/>
            </w:pPr>
            <w:r w:rsidRPr="00466002">
              <w:t>14,335</w:t>
            </w:r>
          </w:p>
        </w:tc>
        <w:tc>
          <w:tcPr>
            <w:tcW w:w="1710" w:type="dxa"/>
            <w:vAlign w:val="center"/>
          </w:tcPr>
          <w:p w14:paraId="6D5AD7C1" w14:textId="77777777" w:rsidR="002B09D0" w:rsidRPr="00466002" w:rsidRDefault="002B09D0" w:rsidP="00351B27">
            <w:pPr>
              <w:jc w:val="center"/>
            </w:pPr>
            <w:r w:rsidRPr="00466002">
              <w:t>131,609</w:t>
            </w:r>
          </w:p>
        </w:tc>
        <w:tc>
          <w:tcPr>
            <w:tcW w:w="1597" w:type="dxa"/>
            <w:vAlign w:val="center"/>
          </w:tcPr>
          <w:p w14:paraId="5113F4E2" w14:textId="77777777" w:rsidR="002B09D0" w:rsidRPr="00466002" w:rsidRDefault="002B09D0" w:rsidP="00351B27">
            <w:pPr>
              <w:jc w:val="center"/>
            </w:pPr>
            <w:r w:rsidRPr="00466002">
              <w:t>2,835,038</w:t>
            </w:r>
          </w:p>
        </w:tc>
      </w:tr>
      <w:tr w:rsidR="002B09D0" w14:paraId="2A5B5B20" w14:textId="77777777" w:rsidTr="00351B27">
        <w:trPr>
          <w:trHeight w:val="271"/>
          <w:jc w:val="center"/>
        </w:trPr>
        <w:tc>
          <w:tcPr>
            <w:tcW w:w="1975" w:type="dxa"/>
            <w:vAlign w:val="center"/>
          </w:tcPr>
          <w:p w14:paraId="5ABD373D" w14:textId="77777777" w:rsidR="002B09D0" w:rsidRPr="00466002" w:rsidRDefault="002B09D0" w:rsidP="00351B27">
            <w:r w:rsidRPr="00466002">
              <w:t>2019</w:t>
            </w:r>
          </w:p>
        </w:tc>
        <w:tc>
          <w:tcPr>
            <w:tcW w:w="4500" w:type="dxa"/>
            <w:vAlign w:val="center"/>
          </w:tcPr>
          <w:p w14:paraId="27FD0032" w14:textId="77777777" w:rsidR="002B09D0" w:rsidRPr="00466002" w:rsidRDefault="002B09D0" w:rsidP="00351B27">
            <w:r w:rsidRPr="00466002">
              <w:t>Net migration</w:t>
            </w:r>
          </w:p>
        </w:tc>
        <w:tc>
          <w:tcPr>
            <w:tcW w:w="1170" w:type="dxa"/>
            <w:vAlign w:val="center"/>
          </w:tcPr>
          <w:p w14:paraId="2FFD3A42" w14:textId="77777777" w:rsidR="002B09D0" w:rsidRPr="00466002" w:rsidRDefault="002B09D0" w:rsidP="00351B27">
            <w:pPr>
              <w:jc w:val="center"/>
            </w:pPr>
            <w:r w:rsidRPr="00466002">
              <w:t>5,039</w:t>
            </w:r>
          </w:p>
        </w:tc>
        <w:tc>
          <w:tcPr>
            <w:tcW w:w="1710" w:type="dxa"/>
            <w:vAlign w:val="center"/>
          </w:tcPr>
          <w:p w14:paraId="20B0C361" w14:textId="77777777" w:rsidR="002B09D0" w:rsidRPr="00466002" w:rsidRDefault="002B09D0" w:rsidP="00351B27">
            <w:pPr>
              <w:jc w:val="center"/>
            </w:pPr>
            <w:r w:rsidRPr="00466002">
              <w:t>2,428</w:t>
            </w:r>
          </w:p>
        </w:tc>
        <w:tc>
          <w:tcPr>
            <w:tcW w:w="1597" w:type="dxa"/>
            <w:vAlign w:val="center"/>
          </w:tcPr>
          <w:p w14:paraId="38442C11" w14:textId="77777777" w:rsidR="002B09D0" w:rsidRPr="00466002" w:rsidRDefault="002B09D0" w:rsidP="00351B27">
            <w:pPr>
              <w:jc w:val="center"/>
            </w:pPr>
            <w:r w:rsidRPr="00466002">
              <w:t>595,348</w:t>
            </w:r>
          </w:p>
        </w:tc>
      </w:tr>
      <w:tr w:rsidR="002B09D0" w14:paraId="330C4ECF" w14:textId="77777777" w:rsidTr="00351B27">
        <w:trPr>
          <w:trHeight w:val="271"/>
          <w:jc w:val="center"/>
        </w:trPr>
        <w:tc>
          <w:tcPr>
            <w:tcW w:w="1975" w:type="dxa"/>
            <w:vAlign w:val="center"/>
          </w:tcPr>
          <w:p w14:paraId="0DC39107" w14:textId="77777777" w:rsidR="002B09D0" w:rsidRPr="004405D2" w:rsidRDefault="002B09D0" w:rsidP="00351B27">
            <w:r>
              <w:t>2018-2019</w:t>
            </w:r>
          </w:p>
        </w:tc>
        <w:tc>
          <w:tcPr>
            <w:tcW w:w="4500" w:type="dxa"/>
            <w:vAlign w:val="center"/>
          </w:tcPr>
          <w:p w14:paraId="229F6813" w14:textId="77777777" w:rsidR="002B09D0" w:rsidRPr="00E87932" w:rsidRDefault="002B09D0" w:rsidP="00351B27">
            <w:r w:rsidRPr="00E87932">
              <w:t>Annual rate of total net migration</w:t>
            </w:r>
          </w:p>
          <w:p w14:paraId="58687306" w14:textId="77777777" w:rsidR="002B09D0" w:rsidRPr="00E87932" w:rsidRDefault="002B09D0" w:rsidP="00351B27">
            <w:r w:rsidRPr="00E87932">
              <w:t>(Maine ranks 1</w:t>
            </w:r>
            <w:r>
              <w:t>6</w:t>
            </w:r>
            <w:r w:rsidRPr="00E87932">
              <w:rPr>
                <w:vertAlign w:val="superscript"/>
              </w:rPr>
              <w:t>th</w:t>
            </w:r>
            <w:r w:rsidRPr="00E87932">
              <w:t xml:space="preserve"> in the U.S.)</w:t>
            </w:r>
          </w:p>
        </w:tc>
        <w:tc>
          <w:tcPr>
            <w:tcW w:w="1170" w:type="dxa"/>
            <w:vAlign w:val="center"/>
          </w:tcPr>
          <w:p w14:paraId="3A118A04" w14:textId="77777777" w:rsidR="002B09D0" w:rsidRPr="004405D2" w:rsidRDefault="002B09D0" w:rsidP="00351B27">
            <w:pPr>
              <w:jc w:val="center"/>
            </w:pPr>
            <w:r>
              <w:t>5.6</w:t>
            </w:r>
            <w:r w:rsidRPr="004405D2">
              <w:t>%</w:t>
            </w:r>
          </w:p>
        </w:tc>
        <w:tc>
          <w:tcPr>
            <w:tcW w:w="1710" w:type="dxa"/>
            <w:shd w:val="clear" w:color="auto" w:fill="auto"/>
            <w:vAlign w:val="center"/>
          </w:tcPr>
          <w:p w14:paraId="4DE89751" w14:textId="77777777" w:rsidR="002B09D0" w:rsidRPr="004405D2" w:rsidRDefault="002B09D0" w:rsidP="00351B27">
            <w:pPr>
              <w:jc w:val="center"/>
            </w:pPr>
            <w:r w:rsidRPr="00E87932">
              <w:t>0.</w:t>
            </w:r>
            <w:r>
              <w:t>00</w:t>
            </w:r>
            <w:r w:rsidRPr="00E87932">
              <w:t>%</w:t>
            </w:r>
          </w:p>
        </w:tc>
        <w:tc>
          <w:tcPr>
            <w:tcW w:w="1597" w:type="dxa"/>
            <w:vAlign w:val="center"/>
          </w:tcPr>
          <w:p w14:paraId="6F01CC6C" w14:textId="77777777" w:rsidR="002B09D0" w:rsidRPr="004405D2" w:rsidRDefault="002B09D0" w:rsidP="00351B27">
            <w:pPr>
              <w:jc w:val="center"/>
            </w:pPr>
            <w:r>
              <w:t>1.8</w:t>
            </w:r>
            <w:r w:rsidRPr="004405D2">
              <w:t>%</w:t>
            </w:r>
          </w:p>
        </w:tc>
      </w:tr>
      <w:tr w:rsidR="002B09D0" w14:paraId="3FC58D48" w14:textId="77777777" w:rsidTr="00351B27">
        <w:trPr>
          <w:trHeight w:val="271"/>
          <w:jc w:val="center"/>
        </w:trPr>
        <w:tc>
          <w:tcPr>
            <w:tcW w:w="1975" w:type="dxa"/>
            <w:vAlign w:val="center"/>
          </w:tcPr>
          <w:p w14:paraId="7A383389" w14:textId="0441B8C7" w:rsidR="002B09D0" w:rsidRPr="004405D2" w:rsidRDefault="002B09D0" w:rsidP="00351B27">
            <w:r w:rsidRPr="004405D2">
              <w:t>201</w:t>
            </w:r>
            <w:r w:rsidR="00D50E27">
              <w:t>9</w:t>
            </w:r>
          </w:p>
        </w:tc>
        <w:tc>
          <w:tcPr>
            <w:tcW w:w="4500" w:type="dxa"/>
            <w:vAlign w:val="center"/>
          </w:tcPr>
          <w:p w14:paraId="591E14E4" w14:textId="77777777" w:rsidR="002B09D0" w:rsidRPr="006741B6" w:rsidRDefault="002B09D0" w:rsidP="00351B27">
            <w:r w:rsidRPr="006741B6">
              <w:t>Median age</w:t>
            </w:r>
            <w:r>
              <w:t>, years (American Community Survey)</w:t>
            </w:r>
          </w:p>
        </w:tc>
        <w:tc>
          <w:tcPr>
            <w:tcW w:w="1170" w:type="dxa"/>
            <w:vAlign w:val="center"/>
          </w:tcPr>
          <w:p w14:paraId="72144E0F" w14:textId="77777777" w:rsidR="002B09D0" w:rsidRPr="004405D2" w:rsidRDefault="002B09D0" w:rsidP="00351B27">
            <w:pPr>
              <w:jc w:val="center"/>
            </w:pPr>
            <w:r w:rsidRPr="004405D2">
              <w:t>4</w:t>
            </w:r>
            <w:r>
              <w:t>5.1</w:t>
            </w:r>
          </w:p>
        </w:tc>
        <w:tc>
          <w:tcPr>
            <w:tcW w:w="1710" w:type="dxa"/>
            <w:vAlign w:val="center"/>
          </w:tcPr>
          <w:p w14:paraId="1003907C" w14:textId="6AEC4158" w:rsidR="002B09D0" w:rsidRPr="00A57062" w:rsidRDefault="002B09D0" w:rsidP="00351B27">
            <w:pPr>
              <w:jc w:val="center"/>
            </w:pPr>
            <w:r w:rsidRPr="00A57062">
              <w:t>40.</w:t>
            </w:r>
            <w:r w:rsidR="00D50E27">
              <w:t>9</w:t>
            </w:r>
          </w:p>
        </w:tc>
        <w:tc>
          <w:tcPr>
            <w:tcW w:w="1597" w:type="dxa"/>
            <w:vAlign w:val="center"/>
          </w:tcPr>
          <w:p w14:paraId="73CAA269" w14:textId="7A9979AA" w:rsidR="002B09D0" w:rsidRPr="004405D2" w:rsidRDefault="002B09D0" w:rsidP="00351B27">
            <w:pPr>
              <w:jc w:val="center"/>
            </w:pPr>
            <w:r w:rsidRPr="004405D2">
              <w:t>38.</w:t>
            </w:r>
            <w:r w:rsidR="00D50E27">
              <w:t>5</w:t>
            </w:r>
          </w:p>
        </w:tc>
      </w:tr>
      <w:tr w:rsidR="002B09D0" w14:paraId="5C81BA0F" w14:textId="77777777" w:rsidTr="00351B27">
        <w:trPr>
          <w:trHeight w:val="557"/>
          <w:jc w:val="center"/>
        </w:trPr>
        <w:tc>
          <w:tcPr>
            <w:tcW w:w="1975" w:type="dxa"/>
            <w:vAlign w:val="center"/>
          </w:tcPr>
          <w:p w14:paraId="18C9D5CE" w14:textId="758B522D" w:rsidR="002B09D0" w:rsidRPr="00BC3547" w:rsidRDefault="002B09D0" w:rsidP="00351B27">
            <w:r w:rsidRPr="00BC3547">
              <w:t>201</w:t>
            </w:r>
            <w:r w:rsidR="00D50E27">
              <w:t>9</w:t>
            </w:r>
          </w:p>
        </w:tc>
        <w:tc>
          <w:tcPr>
            <w:tcW w:w="4500" w:type="dxa"/>
            <w:vAlign w:val="center"/>
          </w:tcPr>
          <w:p w14:paraId="121C00BA" w14:textId="1502C7D0" w:rsidR="002B09D0" w:rsidRPr="00BC3547" w:rsidRDefault="002B09D0" w:rsidP="00351B27">
            <w:r w:rsidRPr="00BC3547">
              <w:t xml:space="preserve">Associate degree: percent of population age 25 and above </w:t>
            </w:r>
          </w:p>
        </w:tc>
        <w:tc>
          <w:tcPr>
            <w:tcW w:w="1170" w:type="dxa"/>
            <w:vAlign w:val="center"/>
          </w:tcPr>
          <w:p w14:paraId="57549E95" w14:textId="432D7B2A" w:rsidR="002B09D0" w:rsidRPr="00BC3547" w:rsidRDefault="00D50E27" w:rsidP="00351B27">
            <w:pPr>
              <w:jc w:val="center"/>
            </w:pPr>
            <w:r>
              <w:t>10.0</w:t>
            </w:r>
            <w:r w:rsidR="002B09D0" w:rsidRPr="00BC3547">
              <w:t>%</w:t>
            </w:r>
          </w:p>
        </w:tc>
        <w:tc>
          <w:tcPr>
            <w:tcW w:w="1710" w:type="dxa"/>
            <w:vAlign w:val="center"/>
          </w:tcPr>
          <w:p w14:paraId="6454B11D" w14:textId="32BD949F" w:rsidR="002B09D0" w:rsidRPr="00BC3547" w:rsidRDefault="002B09D0" w:rsidP="00351B27">
            <w:pPr>
              <w:jc w:val="center"/>
            </w:pPr>
            <w:r w:rsidRPr="00BC3547">
              <w:t>8.</w:t>
            </w:r>
            <w:r w:rsidR="00D50E27">
              <w:t>1</w:t>
            </w:r>
            <w:r w:rsidRPr="00BC3547">
              <w:t>%</w:t>
            </w:r>
          </w:p>
        </w:tc>
        <w:tc>
          <w:tcPr>
            <w:tcW w:w="1597" w:type="dxa"/>
            <w:vAlign w:val="center"/>
          </w:tcPr>
          <w:p w14:paraId="201B9076" w14:textId="77777777" w:rsidR="002B09D0" w:rsidRPr="00BC3547" w:rsidRDefault="002B09D0" w:rsidP="00351B27">
            <w:pPr>
              <w:jc w:val="center"/>
            </w:pPr>
            <w:r w:rsidRPr="00BC3547">
              <w:t>8.6%</w:t>
            </w:r>
          </w:p>
        </w:tc>
      </w:tr>
      <w:tr w:rsidR="002B09D0" w14:paraId="627642BF" w14:textId="77777777" w:rsidTr="00351B27">
        <w:trPr>
          <w:trHeight w:val="557"/>
          <w:jc w:val="center"/>
        </w:trPr>
        <w:tc>
          <w:tcPr>
            <w:tcW w:w="1975" w:type="dxa"/>
            <w:vAlign w:val="center"/>
          </w:tcPr>
          <w:p w14:paraId="77CBBE51" w14:textId="30F9D738" w:rsidR="002B09D0" w:rsidRPr="00BC3547" w:rsidRDefault="002B09D0" w:rsidP="00351B27">
            <w:r w:rsidRPr="00BC3547">
              <w:t>201</w:t>
            </w:r>
            <w:r w:rsidR="00D50E27">
              <w:t>9</w:t>
            </w:r>
          </w:p>
        </w:tc>
        <w:tc>
          <w:tcPr>
            <w:tcW w:w="4500" w:type="dxa"/>
            <w:vAlign w:val="center"/>
          </w:tcPr>
          <w:p w14:paraId="5E5126B4" w14:textId="77777777" w:rsidR="002B09D0" w:rsidRPr="00BC3547" w:rsidRDefault="002B09D0" w:rsidP="00351B27">
            <w:r w:rsidRPr="00BC3547">
              <w:t xml:space="preserve">Bachelor’s degree: percent of population age 25 and above </w:t>
            </w:r>
          </w:p>
        </w:tc>
        <w:tc>
          <w:tcPr>
            <w:tcW w:w="1170" w:type="dxa"/>
            <w:vAlign w:val="center"/>
          </w:tcPr>
          <w:p w14:paraId="6A46BC34" w14:textId="61F31EA3" w:rsidR="002B09D0" w:rsidRPr="00BC3547" w:rsidRDefault="002B09D0" w:rsidP="00351B27">
            <w:pPr>
              <w:jc w:val="center"/>
            </w:pPr>
            <w:r w:rsidRPr="00BC3547">
              <w:t>20.</w:t>
            </w:r>
            <w:r w:rsidR="00D50E27">
              <w:t>8</w:t>
            </w:r>
            <w:r w:rsidRPr="00BC3547">
              <w:t>%</w:t>
            </w:r>
          </w:p>
        </w:tc>
        <w:tc>
          <w:tcPr>
            <w:tcW w:w="1710" w:type="dxa"/>
            <w:vAlign w:val="center"/>
          </w:tcPr>
          <w:p w14:paraId="36AEF78D" w14:textId="31479E98" w:rsidR="002B09D0" w:rsidRPr="00BC3547" w:rsidRDefault="002B09D0" w:rsidP="00351B27">
            <w:pPr>
              <w:jc w:val="center"/>
            </w:pPr>
            <w:r w:rsidRPr="00BC3547">
              <w:t>2</w:t>
            </w:r>
            <w:r w:rsidR="00D50E27">
              <w:t>3.2</w:t>
            </w:r>
            <w:r w:rsidRPr="00BC3547">
              <w:t>%</w:t>
            </w:r>
          </w:p>
        </w:tc>
        <w:tc>
          <w:tcPr>
            <w:tcW w:w="1597" w:type="dxa"/>
            <w:vAlign w:val="center"/>
          </w:tcPr>
          <w:p w14:paraId="715B9BD6" w14:textId="3241C49E" w:rsidR="002B09D0" w:rsidRPr="00BC3547" w:rsidRDefault="002B09D0" w:rsidP="00351B27">
            <w:pPr>
              <w:jc w:val="center"/>
            </w:pPr>
            <w:r>
              <w:t>20.</w:t>
            </w:r>
            <w:r w:rsidR="00D50E27">
              <w:t>3</w:t>
            </w:r>
            <w:r w:rsidRPr="00BC3547">
              <w:t>%</w:t>
            </w:r>
          </w:p>
        </w:tc>
      </w:tr>
      <w:tr w:rsidR="002B09D0" w14:paraId="74DA6A93" w14:textId="77777777" w:rsidTr="00351B27">
        <w:trPr>
          <w:trHeight w:val="557"/>
          <w:jc w:val="center"/>
        </w:trPr>
        <w:tc>
          <w:tcPr>
            <w:tcW w:w="1975" w:type="dxa"/>
            <w:vAlign w:val="center"/>
          </w:tcPr>
          <w:p w14:paraId="6DEB89B4" w14:textId="671B51D1" w:rsidR="002B09D0" w:rsidRPr="00BC3547" w:rsidRDefault="002B09D0" w:rsidP="00351B27">
            <w:r w:rsidRPr="00BC3547">
              <w:t>201</w:t>
            </w:r>
            <w:r w:rsidR="00D50E27">
              <w:t>9</w:t>
            </w:r>
          </w:p>
        </w:tc>
        <w:tc>
          <w:tcPr>
            <w:tcW w:w="4500" w:type="dxa"/>
            <w:vAlign w:val="center"/>
          </w:tcPr>
          <w:p w14:paraId="000EA2F3" w14:textId="77777777" w:rsidR="002B09D0" w:rsidRPr="00BC3547" w:rsidRDefault="002B09D0" w:rsidP="00351B27">
            <w:r w:rsidRPr="00BC3547">
              <w:t xml:space="preserve">Graduate or professional degree: percent of population age 25 and above </w:t>
            </w:r>
          </w:p>
        </w:tc>
        <w:tc>
          <w:tcPr>
            <w:tcW w:w="1170" w:type="dxa"/>
            <w:vAlign w:val="center"/>
          </w:tcPr>
          <w:p w14:paraId="4C8DEEC3" w14:textId="0E4FCC50" w:rsidR="002B09D0" w:rsidRPr="00BC3547" w:rsidRDefault="002B09D0" w:rsidP="00351B27">
            <w:pPr>
              <w:jc w:val="center"/>
            </w:pPr>
            <w:r w:rsidRPr="00BC3547">
              <w:t>1</w:t>
            </w:r>
            <w:r w:rsidR="00D50E27">
              <w:t>2.4</w:t>
            </w:r>
            <w:r w:rsidRPr="00BC3547">
              <w:t>%</w:t>
            </w:r>
          </w:p>
        </w:tc>
        <w:tc>
          <w:tcPr>
            <w:tcW w:w="1710" w:type="dxa"/>
            <w:vAlign w:val="center"/>
          </w:tcPr>
          <w:p w14:paraId="7C0D884D" w14:textId="31075BCF" w:rsidR="002B09D0" w:rsidRPr="00BC3547" w:rsidRDefault="002B09D0" w:rsidP="00351B27">
            <w:pPr>
              <w:jc w:val="center"/>
            </w:pPr>
            <w:r w:rsidRPr="00BC3547">
              <w:t>17.</w:t>
            </w:r>
            <w:r w:rsidR="00D50E27">
              <w:t>8</w:t>
            </w:r>
            <w:r w:rsidRPr="00BC3547">
              <w:t>%</w:t>
            </w:r>
          </w:p>
        </w:tc>
        <w:tc>
          <w:tcPr>
            <w:tcW w:w="1597" w:type="dxa"/>
            <w:vAlign w:val="center"/>
          </w:tcPr>
          <w:p w14:paraId="2E32FB2B" w14:textId="1ECAF23A" w:rsidR="002B09D0" w:rsidRPr="00BC3547" w:rsidRDefault="002B09D0" w:rsidP="00351B27">
            <w:pPr>
              <w:jc w:val="center"/>
            </w:pPr>
            <w:r w:rsidRPr="00BC3547">
              <w:t>12.</w:t>
            </w:r>
            <w:r w:rsidR="00D50E27">
              <w:t>8</w:t>
            </w:r>
            <w:r w:rsidRPr="00BC3547">
              <w:t>%</w:t>
            </w:r>
          </w:p>
        </w:tc>
      </w:tr>
      <w:tr w:rsidR="002B09D0" w14:paraId="6355BBF7" w14:textId="77777777" w:rsidTr="00351B27">
        <w:trPr>
          <w:trHeight w:val="274"/>
          <w:jc w:val="center"/>
        </w:trPr>
        <w:tc>
          <w:tcPr>
            <w:tcW w:w="1975" w:type="dxa"/>
          </w:tcPr>
          <w:p w14:paraId="7A376DF4" w14:textId="1BF88B89" w:rsidR="002B09D0" w:rsidRDefault="002B09D0" w:rsidP="00351B27">
            <w:r w:rsidRPr="005F54B4">
              <w:t>201</w:t>
            </w:r>
            <w:r w:rsidR="00D50E27">
              <w:t>9</w:t>
            </w:r>
          </w:p>
        </w:tc>
        <w:tc>
          <w:tcPr>
            <w:tcW w:w="4500" w:type="dxa"/>
            <w:vAlign w:val="center"/>
          </w:tcPr>
          <w:p w14:paraId="3B8220DA" w14:textId="77777777" w:rsidR="002B09D0" w:rsidRPr="009E6CE0" w:rsidRDefault="002B09D0" w:rsidP="00351B27">
            <w:pPr>
              <w:rPr>
                <w:color w:val="auto"/>
              </w:rPr>
            </w:pPr>
            <w:r>
              <w:rPr>
                <w:color w:val="auto"/>
              </w:rPr>
              <w:t>Percent</w:t>
            </w:r>
            <w:r w:rsidRPr="00114972">
              <w:rPr>
                <w:color w:val="auto"/>
              </w:rPr>
              <w:t xml:space="preserve"> of </w:t>
            </w:r>
            <w:r>
              <w:rPr>
                <w:color w:val="auto"/>
              </w:rPr>
              <w:t>p</w:t>
            </w:r>
            <w:r w:rsidRPr="00114972">
              <w:rPr>
                <w:color w:val="auto"/>
              </w:rPr>
              <w:t xml:space="preserve">opulation </w:t>
            </w:r>
            <w:r>
              <w:rPr>
                <w:color w:val="auto"/>
              </w:rPr>
              <w:t>b</w:t>
            </w:r>
            <w:r w:rsidRPr="00114972">
              <w:rPr>
                <w:color w:val="auto"/>
              </w:rPr>
              <w:t xml:space="preserve">elow </w:t>
            </w:r>
            <w:r>
              <w:rPr>
                <w:color w:val="auto"/>
              </w:rPr>
              <w:t>p</w:t>
            </w:r>
            <w:r w:rsidRPr="00114972">
              <w:rPr>
                <w:color w:val="auto"/>
              </w:rPr>
              <w:t xml:space="preserve">overty </w:t>
            </w:r>
            <w:r>
              <w:rPr>
                <w:color w:val="auto"/>
              </w:rPr>
              <w:t>l</w:t>
            </w:r>
            <w:r w:rsidRPr="00114972">
              <w:rPr>
                <w:color w:val="auto"/>
              </w:rPr>
              <w:t>evel</w:t>
            </w:r>
          </w:p>
        </w:tc>
        <w:tc>
          <w:tcPr>
            <w:tcW w:w="1170" w:type="dxa"/>
            <w:vAlign w:val="center"/>
          </w:tcPr>
          <w:p w14:paraId="0A3324BD" w14:textId="3CFF3D83" w:rsidR="002B09D0" w:rsidRPr="00693E2C" w:rsidRDefault="002B09D0" w:rsidP="00351B27">
            <w:pPr>
              <w:jc w:val="center"/>
            </w:pPr>
            <w:r>
              <w:t>1</w:t>
            </w:r>
            <w:r w:rsidR="00D50E27">
              <w:t>0.9</w:t>
            </w:r>
            <w:r>
              <w:t>%</w:t>
            </w:r>
          </w:p>
        </w:tc>
        <w:tc>
          <w:tcPr>
            <w:tcW w:w="1710" w:type="dxa"/>
            <w:vAlign w:val="center"/>
          </w:tcPr>
          <w:p w14:paraId="67151C75" w14:textId="20B52F7F" w:rsidR="002B09D0" w:rsidRPr="00693E2C" w:rsidRDefault="00D50E27" w:rsidP="00351B27">
            <w:pPr>
              <w:jc w:val="center"/>
            </w:pPr>
            <w:r>
              <w:t>9.6</w:t>
            </w:r>
            <w:r w:rsidR="002B09D0">
              <w:t>%</w:t>
            </w:r>
          </w:p>
        </w:tc>
        <w:tc>
          <w:tcPr>
            <w:tcW w:w="1597" w:type="dxa"/>
            <w:vAlign w:val="center"/>
          </w:tcPr>
          <w:p w14:paraId="2FF19E61" w14:textId="72840024" w:rsidR="002B09D0" w:rsidRPr="00693E2C" w:rsidRDefault="002B09D0" w:rsidP="00351B27">
            <w:pPr>
              <w:jc w:val="center"/>
            </w:pPr>
            <w:r>
              <w:t>1</w:t>
            </w:r>
            <w:r w:rsidR="00D50E27">
              <w:t>2.3</w:t>
            </w:r>
            <w:r>
              <w:t>%</w:t>
            </w:r>
          </w:p>
        </w:tc>
      </w:tr>
      <w:tr w:rsidR="002B09D0" w14:paraId="5D613093" w14:textId="77777777" w:rsidTr="00351B27">
        <w:trPr>
          <w:trHeight w:val="271"/>
          <w:jc w:val="center"/>
        </w:trPr>
        <w:tc>
          <w:tcPr>
            <w:tcW w:w="1975" w:type="dxa"/>
          </w:tcPr>
          <w:p w14:paraId="6B18CC91" w14:textId="477696C9" w:rsidR="002B09D0" w:rsidRPr="00577084" w:rsidRDefault="002B09D0" w:rsidP="00351B27">
            <w:r w:rsidRPr="005F54B4">
              <w:t>201</w:t>
            </w:r>
            <w:r w:rsidR="008279AC">
              <w:t>9</w:t>
            </w:r>
          </w:p>
        </w:tc>
        <w:tc>
          <w:tcPr>
            <w:tcW w:w="4500" w:type="dxa"/>
            <w:vAlign w:val="center"/>
          </w:tcPr>
          <w:p w14:paraId="316CCEB6" w14:textId="77777777" w:rsidR="002B09D0" w:rsidRDefault="002B09D0" w:rsidP="00351B27">
            <w:pPr>
              <w:rPr>
                <w:color w:val="auto"/>
              </w:rPr>
            </w:pPr>
            <w:r>
              <w:rPr>
                <w:color w:val="auto"/>
              </w:rPr>
              <w:t>Median family i</w:t>
            </w:r>
            <w:r w:rsidRPr="00114972">
              <w:rPr>
                <w:color w:val="auto"/>
              </w:rPr>
              <w:t>ncome</w:t>
            </w:r>
          </w:p>
        </w:tc>
        <w:tc>
          <w:tcPr>
            <w:tcW w:w="1170" w:type="dxa"/>
            <w:vAlign w:val="center"/>
          </w:tcPr>
          <w:p w14:paraId="3642F5A8" w14:textId="3FB2ED59" w:rsidR="002B09D0" w:rsidRDefault="002B09D0" w:rsidP="00351B27">
            <w:pPr>
              <w:jc w:val="center"/>
            </w:pPr>
            <w:r>
              <w:t>$</w:t>
            </w:r>
            <w:r w:rsidR="008279AC">
              <w:t>76,316</w:t>
            </w:r>
          </w:p>
        </w:tc>
        <w:tc>
          <w:tcPr>
            <w:tcW w:w="1710" w:type="dxa"/>
            <w:vAlign w:val="center"/>
          </w:tcPr>
          <w:p w14:paraId="41D70A31" w14:textId="41C1CF15" w:rsidR="002B09D0" w:rsidRDefault="002B09D0" w:rsidP="00351B27">
            <w:pPr>
              <w:jc w:val="center"/>
            </w:pPr>
            <w:r>
              <w:t>$9</w:t>
            </w:r>
            <w:r w:rsidR="008279AC">
              <w:t>9,309</w:t>
            </w:r>
          </w:p>
        </w:tc>
        <w:tc>
          <w:tcPr>
            <w:tcW w:w="1597" w:type="dxa"/>
            <w:vAlign w:val="center"/>
          </w:tcPr>
          <w:p w14:paraId="71AEE3AC" w14:textId="3CD7FAA6" w:rsidR="002B09D0" w:rsidRDefault="002B09D0" w:rsidP="00351B27">
            <w:pPr>
              <w:jc w:val="center"/>
            </w:pPr>
            <w:r>
              <w:t>$</w:t>
            </w:r>
            <w:r w:rsidR="008279AC">
              <w:t>80,944</w:t>
            </w:r>
          </w:p>
        </w:tc>
      </w:tr>
      <w:tr w:rsidR="002B09D0" w14:paraId="7C50138D" w14:textId="77777777" w:rsidTr="00351B27">
        <w:trPr>
          <w:trHeight w:val="271"/>
          <w:jc w:val="center"/>
        </w:trPr>
        <w:tc>
          <w:tcPr>
            <w:tcW w:w="1975" w:type="dxa"/>
          </w:tcPr>
          <w:p w14:paraId="7491513D" w14:textId="6FBE0D35" w:rsidR="002B09D0" w:rsidRPr="00577084" w:rsidRDefault="002B09D0" w:rsidP="00351B27">
            <w:r w:rsidRPr="005F54B4">
              <w:t>201</w:t>
            </w:r>
            <w:r w:rsidR="008279AC">
              <w:t>9</w:t>
            </w:r>
          </w:p>
        </w:tc>
        <w:tc>
          <w:tcPr>
            <w:tcW w:w="4500" w:type="dxa"/>
            <w:vAlign w:val="center"/>
          </w:tcPr>
          <w:p w14:paraId="05E68933" w14:textId="77777777" w:rsidR="002B09D0" w:rsidRDefault="002B09D0" w:rsidP="00351B27">
            <w:pPr>
              <w:rPr>
                <w:color w:val="auto"/>
              </w:rPr>
            </w:pPr>
            <w:r>
              <w:rPr>
                <w:color w:val="auto"/>
              </w:rPr>
              <w:t>Median household income</w:t>
            </w:r>
          </w:p>
        </w:tc>
        <w:tc>
          <w:tcPr>
            <w:tcW w:w="1170" w:type="dxa"/>
            <w:vAlign w:val="center"/>
          </w:tcPr>
          <w:p w14:paraId="782A1CB3" w14:textId="23F6A027" w:rsidR="002B09D0" w:rsidRDefault="002B09D0" w:rsidP="00351B27">
            <w:pPr>
              <w:jc w:val="center"/>
            </w:pPr>
            <w:r>
              <w:t>$</w:t>
            </w:r>
            <w:r w:rsidR="008279AC">
              <w:t>58,924</w:t>
            </w:r>
          </w:p>
        </w:tc>
        <w:tc>
          <w:tcPr>
            <w:tcW w:w="1710" w:type="dxa"/>
            <w:vAlign w:val="center"/>
          </w:tcPr>
          <w:p w14:paraId="029C018E" w14:textId="1C5F6B01" w:rsidR="002B09D0" w:rsidRDefault="002B09D0" w:rsidP="00351B27">
            <w:pPr>
              <w:jc w:val="center"/>
            </w:pPr>
            <w:r>
              <w:t>$7</w:t>
            </w:r>
            <w:r w:rsidR="008279AC">
              <w:t>7,482</w:t>
            </w:r>
          </w:p>
        </w:tc>
        <w:tc>
          <w:tcPr>
            <w:tcW w:w="1597" w:type="dxa"/>
            <w:vAlign w:val="center"/>
          </w:tcPr>
          <w:p w14:paraId="35F4683F" w14:textId="2471E638" w:rsidR="002B09D0" w:rsidRDefault="002B09D0" w:rsidP="00351B27">
            <w:pPr>
              <w:jc w:val="center"/>
            </w:pPr>
            <w:r>
              <w:t>$</w:t>
            </w:r>
            <w:r w:rsidR="008279AC">
              <w:t>65,712</w:t>
            </w:r>
          </w:p>
        </w:tc>
      </w:tr>
      <w:tr w:rsidR="002B09D0" w14:paraId="6E047A62" w14:textId="77777777" w:rsidTr="00351B27">
        <w:trPr>
          <w:trHeight w:val="542"/>
          <w:jc w:val="center"/>
        </w:trPr>
        <w:tc>
          <w:tcPr>
            <w:tcW w:w="1975" w:type="dxa"/>
            <w:vAlign w:val="center"/>
          </w:tcPr>
          <w:p w14:paraId="270AF0D3" w14:textId="722D927B" w:rsidR="002B09D0" w:rsidRPr="00F652B9" w:rsidRDefault="002B09D0" w:rsidP="00351B27">
            <w:r w:rsidRPr="00F652B9">
              <w:t>201</w:t>
            </w:r>
            <w:r w:rsidR="00A16EED">
              <w:t>9</w:t>
            </w:r>
          </w:p>
        </w:tc>
        <w:tc>
          <w:tcPr>
            <w:tcW w:w="4500" w:type="dxa"/>
            <w:vAlign w:val="center"/>
          </w:tcPr>
          <w:p w14:paraId="69C59801" w14:textId="77777777" w:rsidR="002B09D0" w:rsidRPr="00F652B9" w:rsidRDefault="002B09D0" w:rsidP="00351B27">
            <w:pPr>
              <w:rPr>
                <w:color w:val="auto"/>
              </w:rPr>
            </w:pPr>
            <w:r w:rsidRPr="00F652B9">
              <w:rPr>
                <w:color w:val="auto"/>
              </w:rPr>
              <w:t>Per capita personal consumption expenditures</w:t>
            </w:r>
          </w:p>
        </w:tc>
        <w:tc>
          <w:tcPr>
            <w:tcW w:w="1170" w:type="dxa"/>
            <w:vAlign w:val="center"/>
          </w:tcPr>
          <w:p w14:paraId="5C6557E5" w14:textId="7527BF4F" w:rsidR="002B09D0" w:rsidRPr="00F652B9" w:rsidRDefault="002B09D0" w:rsidP="00351B27">
            <w:pPr>
              <w:jc w:val="center"/>
            </w:pPr>
            <w:r w:rsidRPr="00F652B9">
              <w:t>$</w:t>
            </w:r>
            <w:r w:rsidR="00A16EED">
              <w:t>47,351</w:t>
            </w:r>
          </w:p>
        </w:tc>
        <w:tc>
          <w:tcPr>
            <w:tcW w:w="1710" w:type="dxa"/>
            <w:vAlign w:val="center"/>
          </w:tcPr>
          <w:p w14:paraId="36E9DDDC" w14:textId="5438D0FD" w:rsidR="002B09D0" w:rsidRPr="00F652B9" w:rsidRDefault="002B09D0" w:rsidP="00351B27">
            <w:pPr>
              <w:jc w:val="center"/>
            </w:pPr>
            <w:r w:rsidRPr="00F652B9">
              <w:t>$</w:t>
            </w:r>
            <w:r w:rsidR="00A16EED">
              <w:t>53,985</w:t>
            </w:r>
          </w:p>
        </w:tc>
        <w:tc>
          <w:tcPr>
            <w:tcW w:w="1597" w:type="dxa"/>
            <w:vAlign w:val="center"/>
          </w:tcPr>
          <w:p w14:paraId="44F10974" w14:textId="77777777" w:rsidR="002B09D0" w:rsidRPr="00F652B9" w:rsidRDefault="002B09D0" w:rsidP="00351B27">
            <w:pPr>
              <w:jc w:val="center"/>
            </w:pPr>
            <w:r w:rsidRPr="00F652B9">
              <w:t>$</w:t>
            </w:r>
            <w:r>
              <w:t>42,757</w:t>
            </w:r>
          </w:p>
        </w:tc>
      </w:tr>
      <w:tr w:rsidR="002B09D0" w14:paraId="579911D9" w14:textId="77777777" w:rsidTr="00351B27">
        <w:trPr>
          <w:trHeight w:val="274"/>
          <w:jc w:val="center"/>
        </w:trPr>
        <w:tc>
          <w:tcPr>
            <w:tcW w:w="1975" w:type="dxa"/>
            <w:vAlign w:val="center"/>
          </w:tcPr>
          <w:p w14:paraId="3CD7FA3D" w14:textId="455CA909" w:rsidR="002B09D0" w:rsidRPr="00F652B9" w:rsidRDefault="002B09D0" w:rsidP="00351B27">
            <w:r w:rsidRPr="00F652B9">
              <w:t>201</w:t>
            </w:r>
            <w:r w:rsidR="00A029E3">
              <w:t>9</w:t>
            </w:r>
          </w:p>
        </w:tc>
        <w:tc>
          <w:tcPr>
            <w:tcW w:w="4500" w:type="dxa"/>
            <w:vAlign w:val="center"/>
          </w:tcPr>
          <w:p w14:paraId="44A7BAB8" w14:textId="77777777" w:rsidR="002B09D0" w:rsidRPr="00F652B9" w:rsidRDefault="002B09D0" w:rsidP="00351B27">
            <w:pPr>
              <w:rPr>
                <w:color w:val="auto"/>
              </w:rPr>
            </w:pPr>
            <w:r w:rsidRPr="00F652B9">
              <w:rPr>
                <w:color w:val="auto"/>
              </w:rPr>
              <w:t>Per capita disposable personal income</w:t>
            </w:r>
          </w:p>
        </w:tc>
        <w:tc>
          <w:tcPr>
            <w:tcW w:w="1170" w:type="dxa"/>
            <w:vAlign w:val="center"/>
          </w:tcPr>
          <w:p w14:paraId="71B30666" w14:textId="7735DD08" w:rsidR="002B09D0" w:rsidRPr="00F652B9" w:rsidRDefault="002B09D0" w:rsidP="00351B27">
            <w:pPr>
              <w:jc w:val="center"/>
            </w:pPr>
            <w:r w:rsidRPr="00F652B9">
              <w:t>$4</w:t>
            </w:r>
            <w:r w:rsidR="00A029E3">
              <w:t>5,508</w:t>
            </w:r>
          </w:p>
        </w:tc>
        <w:tc>
          <w:tcPr>
            <w:tcW w:w="1710" w:type="dxa"/>
            <w:vAlign w:val="center"/>
          </w:tcPr>
          <w:p w14:paraId="7C0963EC" w14:textId="1FDFED23" w:rsidR="002B09D0" w:rsidRPr="00F652B9" w:rsidRDefault="002B09D0" w:rsidP="00351B27">
            <w:pPr>
              <w:jc w:val="center"/>
            </w:pPr>
            <w:r w:rsidRPr="00F652B9">
              <w:t>$</w:t>
            </w:r>
            <w:r w:rsidR="00A029E3">
              <w:t>60,060</w:t>
            </w:r>
          </w:p>
        </w:tc>
        <w:tc>
          <w:tcPr>
            <w:tcW w:w="1597" w:type="dxa"/>
            <w:vAlign w:val="center"/>
          </w:tcPr>
          <w:p w14:paraId="0F4B5218" w14:textId="19F59CC5" w:rsidR="002B09D0" w:rsidRPr="00F652B9" w:rsidRDefault="002B09D0" w:rsidP="00351B27">
            <w:pPr>
              <w:jc w:val="center"/>
            </w:pPr>
            <w:r w:rsidRPr="00F652B9">
              <w:t>$</w:t>
            </w:r>
            <w:r w:rsidR="00A16EED">
              <w:t>44,276</w:t>
            </w:r>
          </w:p>
        </w:tc>
      </w:tr>
    </w:tbl>
    <w:p w14:paraId="7219B46B" w14:textId="35B17454" w:rsidR="009E690A" w:rsidRDefault="009E690A" w:rsidP="009E690A">
      <w:pPr>
        <w:pStyle w:val="Heading1"/>
        <w:pBdr>
          <w:bottom w:val="single" w:sz="4" w:space="1" w:color="auto"/>
        </w:pBdr>
      </w:pPr>
      <w:r w:rsidRPr="009E690A">
        <w:t>CEFC Forecast</w:t>
      </w:r>
    </w:p>
    <w:p w14:paraId="197B85B0" w14:textId="6CC71505" w:rsidR="00A16EED" w:rsidRDefault="00A16EED" w:rsidP="00A16EED">
      <w:r>
        <w:t>The following section showcases highlights from the November 1, 2020 report of the Consensus Economic Forecasting Commission (CEFC), a commission of independent economists which meets twice annually to forecast Maine’s economy.</w:t>
      </w:r>
    </w:p>
    <w:p w14:paraId="5AD5280C" w14:textId="61126362" w:rsidR="002B09D0" w:rsidRDefault="00EF2468" w:rsidP="009E690A">
      <w:pPr>
        <w:pStyle w:val="Heading2"/>
      </w:pPr>
      <w:r>
        <w:t>Wage and Salary Employment</w:t>
      </w:r>
    </w:p>
    <w:p w14:paraId="55102F58" w14:textId="55525529" w:rsidR="00EF2468" w:rsidRDefault="00A24829" w:rsidP="00EF2468">
      <w:r>
        <w:t xml:space="preserve">The CEFC forecasts wage and salary employment to fall by 8.0% in 2020 and gradually rise to 622.6 thousand in 2025. </w:t>
      </w:r>
    </w:p>
    <w:p w14:paraId="5299EDAB" w14:textId="33B84E44" w:rsidR="00200E4D" w:rsidRDefault="0006162E" w:rsidP="00EF2468">
      <w:r>
        <w:rPr>
          <w:noProof/>
        </w:rPr>
        <w:drawing>
          <wp:anchor distT="0" distB="0" distL="114300" distR="114300" simplePos="0" relativeHeight="251689984" behindDoc="1" locked="0" layoutInCell="1" allowOverlap="1" wp14:anchorId="0B0819ED" wp14:editId="5DED5736">
            <wp:simplePos x="0" y="0"/>
            <wp:positionH relativeFrom="margin">
              <wp:posOffset>274320</wp:posOffset>
            </wp:positionH>
            <wp:positionV relativeFrom="paragraph">
              <wp:posOffset>7620</wp:posOffset>
            </wp:positionV>
            <wp:extent cx="6149340" cy="1714500"/>
            <wp:effectExtent l="0" t="0" r="3810" b="0"/>
            <wp:wrapTight wrapText="bothSides">
              <wp:wrapPolygon edited="0">
                <wp:start x="0" y="0"/>
                <wp:lineTo x="0" y="21360"/>
                <wp:lineTo x="21546" y="21360"/>
                <wp:lineTo x="21546" y="0"/>
                <wp:lineTo x="0" y="0"/>
              </wp:wrapPolygon>
            </wp:wrapTight>
            <wp:docPr id="3" name="Chart 3">
              <a:extLst xmlns:a="http://schemas.openxmlformats.org/drawingml/2006/main">
                <a:ext uri="{FF2B5EF4-FFF2-40B4-BE49-F238E27FC236}">
                  <a16:creationId xmlns:a16="http://schemas.microsoft.com/office/drawing/2014/main" id="{A4301F96-D028-49D0-8931-0DBF25B34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33FF327" w14:textId="4012B9A4" w:rsidR="00200E4D" w:rsidRPr="00EF2468" w:rsidRDefault="00200E4D" w:rsidP="00EF2468"/>
    <w:p w14:paraId="0138BF99" w14:textId="6D60C025" w:rsidR="009E690A" w:rsidRDefault="009E690A" w:rsidP="009E690A"/>
    <w:p w14:paraId="01476DAA" w14:textId="2C46B287" w:rsidR="00200E4D" w:rsidRPr="00200E4D" w:rsidRDefault="00200E4D" w:rsidP="00200E4D"/>
    <w:p w14:paraId="2F3BBF7C" w14:textId="222DC03E" w:rsidR="00200E4D" w:rsidRPr="00200E4D" w:rsidRDefault="00200E4D" w:rsidP="00200E4D"/>
    <w:p w14:paraId="5034D198" w14:textId="155985DB" w:rsidR="00200E4D" w:rsidRPr="00200E4D" w:rsidRDefault="00200E4D" w:rsidP="00200E4D"/>
    <w:p w14:paraId="2670E53F" w14:textId="54176EB0" w:rsidR="00200E4D" w:rsidRDefault="00200E4D" w:rsidP="00200E4D"/>
    <w:p w14:paraId="12E09E7B" w14:textId="1CA85B15" w:rsidR="00200E4D" w:rsidRDefault="00200E4D" w:rsidP="00200E4D">
      <w:pPr>
        <w:pStyle w:val="Heading2"/>
      </w:pPr>
      <w:r>
        <w:t>Total Personal Income</w:t>
      </w:r>
    </w:p>
    <w:p w14:paraId="01BAFA17" w14:textId="62BD55A5" w:rsidR="0006162E" w:rsidRDefault="0006162E" w:rsidP="0006162E">
      <w:r>
        <w:t xml:space="preserve">The CEFC </w:t>
      </w:r>
      <w:r w:rsidR="0050208E">
        <w:t>f</w:t>
      </w:r>
      <w:r>
        <w:t xml:space="preserve">orecasts total personal income will increase by 5.3% in 2020, </w:t>
      </w:r>
      <w:r w:rsidR="00C52407">
        <w:t xml:space="preserve">driven by sharp increases in personal current transfer receipts including unemployment insurance and </w:t>
      </w:r>
      <w:r w:rsidR="001C5F70">
        <w:t>the “recovery rebate” stimulus checks</w:t>
      </w:r>
      <w:r>
        <w:t xml:space="preserve">, before </w:t>
      </w:r>
      <w:r w:rsidR="00060EC2">
        <w:t xml:space="preserve">declining </w:t>
      </w:r>
      <w:r>
        <w:t>in 2021</w:t>
      </w:r>
      <w:r w:rsidR="00060EC2">
        <w:t xml:space="preserve"> following the expiration of fiscal stimulus measures</w:t>
      </w:r>
      <w:r>
        <w:t xml:space="preserve">. </w:t>
      </w:r>
    </w:p>
    <w:p w14:paraId="6E8B6E8C" w14:textId="2786CACC" w:rsidR="0006162E" w:rsidRDefault="0006162E" w:rsidP="0006162E">
      <w:r>
        <w:rPr>
          <w:noProof/>
        </w:rPr>
        <w:drawing>
          <wp:inline distT="0" distB="0" distL="0" distR="0" wp14:anchorId="0A336E13" wp14:editId="13A47770">
            <wp:extent cx="6446520" cy="2247900"/>
            <wp:effectExtent l="0" t="0" r="0" b="0"/>
            <wp:docPr id="5" name="Chart 5">
              <a:extLst xmlns:a="http://schemas.openxmlformats.org/drawingml/2006/main">
                <a:ext uri="{FF2B5EF4-FFF2-40B4-BE49-F238E27FC236}">
                  <a16:creationId xmlns:a16="http://schemas.microsoft.com/office/drawing/2014/main" id="{3F2E701F-656B-40FA-ADCD-9EB795D24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1EB60B" w14:textId="459C8BF5" w:rsidR="0006162E" w:rsidRDefault="0006162E" w:rsidP="0006162E">
      <w:pPr>
        <w:pStyle w:val="Heading2"/>
      </w:pPr>
      <w:r>
        <w:t>Wage and Salary Income</w:t>
      </w:r>
    </w:p>
    <w:p w14:paraId="21B212EB" w14:textId="148B766F" w:rsidR="0006162E" w:rsidRDefault="0006162E" w:rsidP="0006162E">
      <w:r>
        <w:t xml:space="preserve">Wage and </w:t>
      </w:r>
      <w:r w:rsidR="00F00C7D">
        <w:t>s</w:t>
      </w:r>
      <w:r>
        <w:t xml:space="preserve">alary </w:t>
      </w:r>
      <w:r w:rsidR="00F00C7D">
        <w:t>i</w:t>
      </w:r>
      <w:r>
        <w:t xml:space="preserve">ncome in Maine </w:t>
      </w:r>
      <w:proofErr w:type="gramStart"/>
      <w:r>
        <w:t>is</w:t>
      </w:r>
      <w:proofErr w:type="gramEnd"/>
      <w:r>
        <w:t xml:space="preserve"> projected to fall by 1.5% in 2020 as employment in middle- and high-wage jobs are expected to recover faster than low-wage jobs. In following years, the CEFC expects s</w:t>
      </w:r>
      <w:r w:rsidR="00E66161">
        <w:t>teady</w:t>
      </w:r>
      <w:r>
        <w:t xml:space="preserve"> growth through 2025.</w:t>
      </w:r>
    </w:p>
    <w:p w14:paraId="1194AB17" w14:textId="2CB461D9" w:rsidR="0006162E" w:rsidRDefault="0006162E" w:rsidP="0006162E">
      <w:r>
        <w:rPr>
          <w:noProof/>
        </w:rPr>
        <w:drawing>
          <wp:inline distT="0" distB="0" distL="0" distR="0" wp14:anchorId="4666425E" wp14:editId="64C4E3A9">
            <wp:extent cx="6598920" cy="2697480"/>
            <wp:effectExtent l="0" t="0" r="11430" b="7620"/>
            <wp:docPr id="7" name="Chart 7">
              <a:extLst xmlns:a="http://schemas.openxmlformats.org/drawingml/2006/main">
                <a:ext uri="{FF2B5EF4-FFF2-40B4-BE49-F238E27FC236}">
                  <a16:creationId xmlns:a16="http://schemas.microsoft.com/office/drawing/2014/main" id="{94ACDD33-5C21-4C1E-9D46-FD7FF21325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1A9AB3" w14:textId="77777777" w:rsidR="00A3653A" w:rsidRPr="0006162E" w:rsidRDefault="00A3653A" w:rsidP="0006162E"/>
    <w:p w14:paraId="1D23FD5D" w14:textId="7D35C557" w:rsidR="009E690A" w:rsidRPr="009E690A" w:rsidRDefault="009E690A" w:rsidP="009E690A">
      <w:pPr>
        <w:pStyle w:val="Heading1"/>
        <w:pBdr>
          <w:bottom w:val="single" w:sz="4" w:space="1" w:color="auto"/>
        </w:pBdr>
      </w:pPr>
      <w:r>
        <w:t>Quarterly and Monthly Indicators</w:t>
      </w:r>
    </w:p>
    <w:p w14:paraId="72EEB92E" w14:textId="5AB6A7FB" w:rsidR="00B06694" w:rsidRPr="00E23348" w:rsidRDefault="00B06694" w:rsidP="009E690A">
      <w:pPr>
        <w:pStyle w:val="Heading2"/>
      </w:pPr>
      <w:r w:rsidRPr="00E23348">
        <w:t>Gross Domestic Product</w:t>
      </w:r>
      <w:r w:rsidR="00D770E0" w:rsidRPr="00E23348">
        <w:t xml:space="preserve"> (GDP)</w:t>
      </w:r>
    </w:p>
    <w:p w14:paraId="6EE47A3A" w14:textId="14150F43" w:rsidR="004176D7" w:rsidRDefault="00B64136" w:rsidP="004176D7">
      <w:r w:rsidRPr="00A36A9B">
        <w:t xml:space="preserve">Real </w:t>
      </w:r>
      <w:r w:rsidR="00BD4E73" w:rsidRPr="00A36A9B">
        <w:t xml:space="preserve">GDP in Maine </w:t>
      </w:r>
      <w:r w:rsidR="009C11D6">
        <w:t xml:space="preserve">fell by </w:t>
      </w:r>
      <w:r w:rsidR="00415DE0">
        <w:t>34.4</w:t>
      </w:r>
      <w:r w:rsidR="009C11D6">
        <w:t xml:space="preserve"> </w:t>
      </w:r>
      <w:r w:rsidR="006A3DE5" w:rsidRPr="00A36A9B">
        <w:t>percent from the preceding quarter (</w:t>
      </w:r>
      <w:proofErr w:type="gramStart"/>
      <w:r w:rsidR="00415DE0">
        <w:t>2020:Q</w:t>
      </w:r>
      <w:proofErr w:type="gramEnd"/>
      <w:r w:rsidR="00415DE0">
        <w:t>1</w:t>
      </w:r>
      <w:r w:rsidR="00584B10" w:rsidRPr="00A36A9B">
        <w:t xml:space="preserve"> to 20</w:t>
      </w:r>
      <w:r w:rsidR="009C11D6">
        <w:t>20</w:t>
      </w:r>
      <w:r w:rsidR="00584B10" w:rsidRPr="00A36A9B">
        <w:t>:Q</w:t>
      </w:r>
      <w:r w:rsidR="00415DE0">
        <w:t>2</w:t>
      </w:r>
      <w:r w:rsidR="006A3DE5" w:rsidRPr="00A36A9B">
        <w:t>)</w:t>
      </w:r>
      <w:r w:rsidR="00917979">
        <w:t xml:space="preserve">, </w:t>
      </w:r>
      <w:r w:rsidR="00415DE0">
        <w:t>low</w:t>
      </w:r>
      <w:r w:rsidR="00F5396D">
        <w:t xml:space="preserve">er than </w:t>
      </w:r>
      <w:r w:rsidR="00917979">
        <w:t>New England</w:t>
      </w:r>
      <w:r w:rsidR="00FB6AFC">
        <w:t xml:space="preserve"> (-</w:t>
      </w:r>
      <w:r w:rsidR="00415DE0">
        <w:t>32.4</w:t>
      </w:r>
      <w:r w:rsidR="00FB6AFC">
        <w:t xml:space="preserve"> percent)</w:t>
      </w:r>
      <w:r w:rsidR="00954EF2">
        <w:t xml:space="preserve"> and</w:t>
      </w:r>
      <w:r w:rsidR="00917979">
        <w:t xml:space="preserve"> the United States</w:t>
      </w:r>
      <w:r w:rsidR="00FB6AFC">
        <w:t xml:space="preserve"> (-</w:t>
      </w:r>
      <w:r w:rsidR="00415DE0">
        <w:t>34.4</w:t>
      </w:r>
      <w:r w:rsidR="00F5396D">
        <w:t xml:space="preserve"> percent</w:t>
      </w:r>
      <w:r w:rsidR="00FB6AFC">
        <w:t>)</w:t>
      </w:r>
      <w:r w:rsidR="00F5396D">
        <w:t xml:space="preserve"> </w:t>
      </w:r>
      <w:r w:rsidR="00917979">
        <w:t xml:space="preserve">and </w:t>
      </w:r>
      <w:r w:rsidR="00FB6AFC">
        <w:t>4</w:t>
      </w:r>
      <w:r w:rsidR="004176D7">
        <w:t>1</w:t>
      </w:r>
      <w:r w:rsidR="004176D7" w:rsidRPr="004176D7">
        <w:rPr>
          <w:vertAlign w:val="superscript"/>
        </w:rPr>
        <w:t>st</w:t>
      </w:r>
      <w:r w:rsidR="004176D7">
        <w:t xml:space="preserve"> </w:t>
      </w:r>
      <w:r w:rsidR="00917979">
        <w:t>in the country</w:t>
      </w:r>
      <w:r w:rsidR="00B04948">
        <w:t>.</w:t>
      </w:r>
      <w:r w:rsidR="004176D7">
        <w:t xml:space="preserve"> The industries that contributed the largest decline in GDP were</w:t>
      </w:r>
      <w:r w:rsidR="007115BA" w:rsidRPr="00A36A9B">
        <w:t xml:space="preserve"> </w:t>
      </w:r>
      <w:r w:rsidR="004176D7">
        <w:t xml:space="preserve">accommodation and food services (-7.09 percentage points) and health </w:t>
      </w:r>
      <w:r w:rsidR="004176D7">
        <w:lastRenderedPageBreak/>
        <w:t xml:space="preserve">care and social assistance (-6.07 percentage points). Two sectors contributed slight gains in GDP: finance and insurance (+0.52 percentage points) and agriculture, forestry, fishing and hunting (+0.24 percentage points).  </w:t>
      </w:r>
    </w:p>
    <w:tbl>
      <w:tblPr>
        <w:tblStyle w:val="TableGrid"/>
        <w:tblW w:w="0" w:type="auto"/>
        <w:tblLook w:val="04A0" w:firstRow="1" w:lastRow="0" w:firstColumn="1" w:lastColumn="0" w:noHBand="0" w:noVBand="1"/>
      </w:tblPr>
      <w:tblGrid>
        <w:gridCol w:w="2415"/>
        <w:gridCol w:w="2890"/>
        <w:gridCol w:w="1640"/>
        <w:gridCol w:w="2405"/>
      </w:tblGrid>
      <w:tr w:rsidR="00823B44" w:rsidRPr="00E23348" w14:paraId="49BF73E7" w14:textId="77777777" w:rsidTr="00020E96">
        <w:tc>
          <w:tcPr>
            <w:tcW w:w="2415" w:type="dxa"/>
            <w:shd w:val="clear" w:color="auto" w:fill="E7E6E6" w:themeFill="background2"/>
          </w:tcPr>
          <w:p w14:paraId="45AE06C3" w14:textId="77777777" w:rsidR="00823B44" w:rsidRPr="00E23348" w:rsidRDefault="00823B44" w:rsidP="005362C2">
            <w:pPr>
              <w:rPr>
                <w:b/>
              </w:rPr>
            </w:pPr>
            <w:r w:rsidRPr="00E23348">
              <w:rPr>
                <w:b/>
              </w:rPr>
              <w:t>Reference Period</w:t>
            </w:r>
          </w:p>
        </w:tc>
        <w:tc>
          <w:tcPr>
            <w:tcW w:w="2890" w:type="dxa"/>
            <w:shd w:val="clear" w:color="auto" w:fill="E7E6E6" w:themeFill="background2"/>
          </w:tcPr>
          <w:p w14:paraId="40464E51" w14:textId="625E7010" w:rsidR="00823B44" w:rsidRPr="00E23348" w:rsidRDefault="00823B44" w:rsidP="005362C2">
            <w:pPr>
              <w:rPr>
                <w:b/>
              </w:rPr>
            </w:pPr>
          </w:p>
        </w:tc>
        <w:tc>
          <w:tcPr>
            <w:tcW w:w="1640" w:type="dxa"/>
            <w:shd w:val="clear" w:color="auto" w:fill="E7E6E6" w:themeFill="background2"/>
          </w:tcPr>
          <w:p w14:paraId="64374D58" w14:textId="77777777" w:rsidR="00823B44" w:rsidRPr="00E23348" w:rsidRDefault="00823B44" w:rsidP="00AE4D04">
            <w:pPr>
              <w:jc w:val="center"/>
              <w:rPr>
                <w:b/>
              </w:rPr>
            </w:pPr>
            <w:r w:rsidRPr="00E23348">
              <w:rPr>
                <w:b/>
              </w:rPr>
              <w:t>Maine</w:t>
            </w:r>
          </w:p>
        </w:tc>
        <w:tc>
          <w:tcPr>
            <w:tcW w:w="2405" w:type="dxa"/>
            <w:shd w:val="clear" w:color="auto" w:fill="E7E6E6" w:themeFill="background2"/>
          </w:tcPr>
          <w:p w14:paraId="389F1398" w14:textId="77777777" w:rsidR="00823B44" w:rsidRPr="00E23348" w:rsidRDefault="00823B44" w:rsidP="00AE4D04">
            <w:pPr>
              <w:jc w:val="center"/>
              <w:rPr>
                <w:b/>
              </w:rPr>
            </w:pPr>
            <w:r w:rsidRPr="00E23348">
              <w:rPr>
                <w:b/>
              </w:rPr>
              <w:t>United States</w:t>
            </w:r>
          </w:p>
        </w:tc>
      </w:tr>
      <w:tr w:rsidR="00823B44" w14:paraId="0155A110" w14:textId="77777777" w:rsidTr="00020E96">
        <w:tc>
          <w:tcPr>
            <w:tcW w:w="2415" w:type="dxa"/>
          </w:tcPr>
          <w:p w14:paraId="50CE3BE9" w14:textId="65B210AE" w:rsidR="00823B44" w:rsidRPr="00A45538" w:rsidRDefault="00FB6AFC" w:rsidP="005362C2">
            <w:proofErr w:type="gramStart"/>
            <w:r w:rsidRPr="00A45538">
              <w:t>2020:Q</w:t>
            </w:r>
            <w:proofErr w:type="gramEnd"/>
            <w:r w:rsidR="004176D7" w:rsidRPr="00A45538">
              <w:t>2</w:t>
            </w:r>
          </w:p>
        </w:tc>
        <w:tc>
          <w:tcPr>
            <w:tcW w:w="2890" w:type="dxa"/>
          </w:tcPr>
          <w:p w14:paraId="12DD2F11" w14:textId="2756AC7E" w:rsidR="00823B44" w:rsidRPr="00A45538" w:rsidRDefault="000D6CF5" w:rsidP="000D6CF5">
            <w:pPr>
              <w:jc w:val="center"/>
            </w:pPr>
            <w:r w:rsidRPr="00A45538">
              <w:t>Total GDP (Current dollars)</w:t>
            </w:r>
          </w:p>
        </w:tc>
        <w:tc>
          <w:tcPr>
            <w:tcW w:w="1640" w:type="dxa"/>
          </w:tcPr>
          <w:p w14:paraId="4A635559" w14:textId="30E79C7D" w:rsidR="00823B44" w:rsidRPr="00A45538" w:rsidRDefault="00BE1862" w:rsidP="00AE4D04">
            <w:pPr>
              <w:jc w:val="center"/>
            </w:pPr>
            <w:r w:rsidRPr="00A45538">
              <w:t>$</w:t>
            </w:r>
            <w:r w:rsidR="00FB6AFC" w:rsidRPr="00A45538">
              <w:t>6</w:t>
            </w:r>
            <w:r w:rsidR="004176D7" w:rsidRPr="00A45538">
              <w:t>1.5</w:t>
            </w:r>
            <w:r w:rsidR="000D6CF5" w:rsidRPr="00A45538">
              <w:t xml:space="preserve"> </w:t>
            </w:r>
            <w:r w:rsidR="00B04948" w:rsidRPr="00A45538">
              <w:t>billion</w:t>
            </w:r>
          </w:p>
        </w:tc>
        <w:tc>
          <w:tcPr>
            <w:tcW w:w="2405" w:type="dxa"/>
          </w:tcPr>
          <w:p w14:paraId="5FCE1DAF" w14:textId="3D7C81E6" w:rsidR="00823B44" w:rsidRPr="00A45538" w:rsidRDefault="00823B44" w:rsidP="00AE4D04">
            <w:pPr>
              <w:jc w:val="center"/>
            </w:pPr>
            <w:r w:rsidRPr="00A45538">
              <w:t>$</w:t>
            </w:r>
            <w:r w:rsidR="004176D7" w:rsidRPr="00A45538">
              <w:t>19.5</w:t>
            </w:r>
            <w:r w:rsidRPr="00A45538">
              <w:t xml:space="preserve"> </w:t>
            </w:r>
            <w:r w:rsidR="0016709A" w:rsidRPr="00A45538">
              <w:t>tr</w:t>
            </w:r>
            <w:r w:rsidRPr="00A45538">
              <w:rPr>
                <w:color w:val="auto"/>
              </w:rPr>
              <w:t>illion</w:t>
            </w:r>
          </w:p>
        </w:tc>
      </w:tr>
    </w:tbl>
    <w:p w14:paraId="3426DD9A" w14:textId="4409FE1A" w:rsidR="00EF2468" w:rsidRDefault="00EF2468" w:rsidP="00751735">
      <w:bookmarkStart w:id="3" w:name="_GoBack"/>
      <w:bookmarkEnd w:id="3"/>
      <w:r>
        <w:rPr>
          <w:noProof/>
        </w:rPr>
        <w:drawing>
          <wp:anchor distT="0" distB="0" distL="114300" distR="114300" simplePos="0" relativeHeight="251688960" behindDoc="1" locked="0" layoutInCell="1" allowOverlap="1" wp14:anchorId="5767289C" wp14:editId="1634D8E7">
            <wp:simplePos x="0" y="0"/>
            <wp:positionH relativeFrom="margin">
              <wp:align>left</wp:align>
            </wp:positionH>
            <wp:positionV relativeFrom="paragraph">
              <wp:posOffset>0</wp:posOffset>
            </wp:positionV>
            <wp:extent cx="6684264" cy="2292096"/>
            <wp:effectExtent l="0" t="0" r="2540" b="0"/>
            <wp:wrapTight wrapText="bothSides">
              <wp:wrapPolygon edited="0">
                <wp:start x="0" y="0"/>
                <wp:lineTo x="0" y="21367"/>
                <wp:lineTo x="21547" y="21367"/>
                <wp:lineTo x="21547" y="0"/>
                <wp:lineTo x="0" y="0"/>
              </wp:wrapPolygon>
            </wp:wrapTight>
            <wp:docPr id="1" name="Chart 1">
              <a:extLst xmlns:a="http://schemas.openxmlformats.org/drawingml/2006/main">
                <a:ext uri="{FF2B5EF4-FFF2-40B4-BE49-F238E27FC236}">
                  <a16:creationId xmlns:a16="http://schemas.microsoft.com/office/drawing/2014/main" id="{CA7C5F57-133B-4BF3-B2CA-54F7DA0EB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CD253FE" w14:textId="07B40C25" w:rsidR="00B02215" w:rsidRPr="00EF2468" w:rsidRDefault="00B02215" w:rsidP="00EF2468">
      <w:pPr>
        <w:pStyle w:val="Heading2"/>
      </w:pPr>
      <w:r w:rsidRPr="008B1295">
        <w:t>Recession Indicator</w:t>
      </w:r>
      <w:r w:rsidR="00F664B3" w:rsidRPr="008B1295">
        <w:t>s</w:t>
      </w:r>
      <w:r w:rsidRPr="008B1295">
        <w:t xml:space="preserve"> </w:t>
      </w:r>
    </w:p>
    <w:p w14:paraId="74322D3F" w14:textId="08341F36" w:rsidR="00E853BA" w:rsidRDefault="00E853BA" w:rsidP="00E853BA">
      <w:r>
        <w:t>On June 8, 2020</w:t>
      </w:r>
      <w:r w:rsidR="00900FE9">
        <w:t>,</w:t>
      </w:r>
      <w:r>
        <w:t xml:space="preserve"> the National Bureau of Economic Research (NBER) declared that the United States was officially in recession starting in February.</w:t>
      </w:r>
    </w:p>
    <w:p w14:paraId="1139265D" w14:textId="0D47A7D1" w:rsidR="0082643B" w:rsidRPr="00E853BA" w:rsidRDefault="0082643B" w:rsidP="0082643B">
      <w:pPr>
        <w:pStyle w:val="Heading3"/>
      </w:pPr>
      <w:r>
        <w:t>GDP-Based Recession Indicator Index (Hamilton)</w:t>
      </w:r>
    </w:p>
    <w:p w14:paraId="70F689AA" w14:textId="0895D0DB" w:rsidR="00D770E0" w:rsidRDefault="006F55F7" w:rsidP="00751735">
      <w:pPr>
        <w:spacing w:after="0"/>
        <w:ind w:left="180"/>
      </w:pPr>
      <w:r w:rsidRPr="00751735">
        <w:t>T</w:t>
      </w:r>
      <w:r w:rsidR="00820179" w:rsidRPr="00751735">
        <w:t>he GDP-</w:t>
      </w:r>
      <w:r w:rsidR="0078591C" w:rsidRPr="00751735">
        <w:t>B</w:t>
      </w:r>
      <w:r w:rsidR="00820179" w:rsidRPr="00751735">
        <w:t>ased</w:t>
      </w:r>
      <w:r w:rsidR="0078591C" w:rsidRPr="00751735">
        <w:t xml:space="preserve"> Recession I</w:t>
      </w:r>
      <w:r w:rsidR="00820179" w:rsidRPr="00751735">
        <w:t xml:space="preserve">ndicator </w:t>
      </w:r>
      <w:r w:rsidR="0078591C" w:rsidRPr="00751735">
        <w:t xml:space="preserve">Index </w:t>
      </w:r>
      <w:r w:rsidR="00820179" w:rsidRPr="00751735">
        <w:t xml:space="preserve">is </w:t>
      </w:r>
      <w:r w:rsidR="00751735" w:rsidRPr="00751735">
        <w:t>100.0</w:t>
      </w:r>
      <w:r w:rsidR="00FF0BA7" w:rsidRPr="00751735">
        <w:t xml:space="preserve"> percent</w:t>
      </w:r>
      <w:r w:rsidR="00A36A9B" w:rsidRPr="00751735">
        <w:t>age points</w:t>
      </w:r>
      <w:r w:rsidR="00FF0BA7" w:rsidRPr="00751735">
        <w:t xml:space="preserve"> </w:t>
      </w:r>
      <w:r w:rsidR="00D770E0" w:rsidRPr="00751735">
        <w:t>(</w:t>
      </w:r>
      <w:proofErr w:type="gramStart"/>
      <w:r w:rsidR="00DD4BAB" w:rsidRPr="00751735">
        <w:t>2020:Q</w:t>
      </w:r>
      <w:proofErr w:type="gramEnd"/>
      <w:r w:rsidR="00751735">
        <w:t>2</w:t>
      </w:r>
      <w:r w:rsidR="00ED772E" w:rsidRPr="00751735">
        <w:t>)</w:t>
      </w:r>
      <w:r w:rsidR="00806CC7" w:rsidRPr="00751735">
        <w:t xml:space="preserve">, </w:t>
      </w:r>
      <w:r w:rsidR="00751735" w:rsidRPr="00751735">
        <w:t>indicating the economy remained in recession in Q2.</w:t>
      </w:r>
    </w:p>
    <w:p w14:paraId="08D22B04" w14:textId="0ADD4BA4" w:rsidR="001E553E" w:rsidRDefault="005D13A4" w:rsidP="00751735">
      <w:pPr>
        <w:spacing w:after="0"/>
        <w:ind w:left="180" w:firstLine="540"/>
      </w:pPr>
      <w:r>
        <w:t xml:space="preserve">The index ranges from 0 to 100, and values above 67 </w:t>
      </w:r>
      <w:r w:rsidR="0063456D">
        <w:t>provide a historically reliable indicator that the economy is in recession</w:t>
      </w:r>
      <w:r w:rsidR="00C02B8B">
        <w:rPr>
          <w:rStyle w:val="FootnoteReference"/>
        </w:rPr>
        <w:footnoteReference w:id="1"/>
      </w:r>
      <w:r w:rsidR="0063456D">
        <w:t xml:space="preserve">. </w:t>
      </w:r>
      <w:r w:rsidR="0082643B">
        <w:t>This method is purely objective in nature, rather than the NBER’s subjective recession analysis. T</w:t>
      </w:r>
      <w:r w:rsidR="00387267">
        <w:t>his index is calculated with a one quarter lag</w:t>
      </w:r>
      <w:r w:rsidR="00D770E0">
        <w:t>,</w:t>
      </w:r>
      <w:r w:rsidR="00387267">
        <w:t xml:space="preserve"> which allows for extra insight and accounts for data revisions to make dependable inference. </w:t>
      </w:r>
      <w:r w:rsidR="0082643B">
        <w:t>This</w:t>
      </w:r>
      <w:r w:rsidR="00387267">
        <w:t xml:space="preserve"> index does not get revised once it is published. </w:t>
      </w:r>
    </w:p>
    <w:p w14:paraId="66AB7C03" w14:textId="21D3C642" w:rsidR="00DD4BAB" w:rsidRDefault="00751735" w:rsidP="0078591C">
      <w:pPr>
        <w:spacing w:after="0"/>
        <w:ind w:left="180"/>
      </w:pPr>
      <w:r>
        <w:rPr>
          <w:noProof/>
        </w:rPr>
        <w:drawing>
          <wp:inline distT="0" distB="0" distL="0" distR="0" wp14:anchorId="312EB8DB" wp14:editId="329AC1E0">
            <wp:extent cx="6454140" cy="2489027"/>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6076" cy="2497487"/>
                    </a:xfrm>
                    <a:prstGeom prst="rect">
                      <a:avLst/>
                    </a:prstGeom>
                    <a:noFill/>
                    <a:ln>
                      <a:noFill/>
                    </a:ln>
                  </pic:spPr>
                </pic:pic>
              </a:graphicData>
            </a:graphic>
          </wp:inline>
        </w:drawing>
      </w:r>
    </w:p>
    <w:p w14:paraId="25C0CCC2" w14:textId="09545511" w:rsidR="00F664B3" w:rsidRDefault="00F664B3" w:rsidP="00954EF2">
      <w:pPr>
        <w:spacing w:after="0"/>
        <w:ind w:left="180"/>
      </w:pPr>
    </w:p>
    <w:p w14:paraId="68054C43" w14:textId="10FDAF0E" w:rsidR="008B1295" w:rsidRDefault="008B1295" w:rsidP="00954EF2">
      <w:pPr>
        <w:spacing w:after="0"/>
        <w:ind w:left="180"/>
      </w:pPr>
    </w:p>
    <w:p w14:paraId="6F31736A" w14:textId="43562440" w:rsidR="0082643B" w:rsidRDefault="0082643B" w:rsidP="0082643B">
      <w:pPr>
        <w:pStyle w:val="Heading3"/>
      </w:pPr>
      <w:r>
        <w:lastRenderedPageBreak/>
        <w:t xml:space="preserve">Real-time </w:t>
      </w:r>
      <w:proofErr w:type="spellStart"/>
      <w:r>
        <w:t>Sahm</w:t>
      </w:r>
      <w:proofErr w:type="spellEnd"/>
      <w:r>
        <w:t xml:space="preserve"> Rule Recession Indicator</w:t>
      </w:r>
    </w:p>
    <w:p w14:paraId="7D23D911" w14:textId="01B97112" w:rsidR="00F664B3" w:rsidRDefault="00A45538" w:rsidP="00F664B3">
      <w:r w:rsidRPr="005C7BC4">
        <w:rPr>
          <w:noProof/>
        </w:rPr>
        <w:drawing>
          <wp:anchor distT="0" distB="0" distL="114300" distR="114300" simplePos="0" relativeHeight="251683840" behindDoc="1" locked="0" layoutInCell="1" allowOverlap="1" wp14:anchorId="57E600A4" wp14:editId="53D90226">
            <wp:simplePos x="0" y="0"/>
            <wp:positionH relativeFrom="column">
              <wp:posOffset>312420</wp:posOffset>
            </wp:positionH>
            <wp:positionV relativeFrom="paragraph">
              <wp:posOffset>947420</wp:posOffset>
            </wp:positionV>
            <wp:extent cx="5676900" cy="2188845"/>
            <wp:effectExtent l="0" t="0" r="0" b="1905"/>
            <wp:wrapTight wrapText="bothSides">
              <wp:wrapPolygon edited="0">
                <wp:start x="0" y="0"/>
                <wp:lineTo x="0" y="21431"/>
                <wp:lineTo x="21528" y="21431"/>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218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4B3" w:rsidRPr="005C7BC4">
        <w:t xml:space="preserve">Additionally, the Real-time </w:t>
      </w:r>
      <w:proofErr w:type="spellStart"/>
      <w:r w:rsidR="00F664B3" w:rsidRPr="005C7BC4">
        <w:t>Sahm</w:t>
      </w:r>
      <w:proofErr w:type="spellEnd"/>
      <w:r w:rsidR="00F664B3" w:rsidRPr="005C7BC4">
        <w:t xml:space="preserve"> Rule Recession Indicator</w:t>
      </w:r>
      <w:r w:rsidR="00954EF2" w:rsidRPr="005C7BC4">
        <w:rPr>
          <w:rStyle w:val="FootnoteReference"/>
        </w:rPr>
        <w:footnoteReference w:id="2"/>
      </w:r>
      <w:r w:rsidR="00954EF2" w:rsidRPr="005C7BC4">
        <w:t xml:space="preserve"> s</w:t>
      </w:r>
      <w:r w:rsidR="00F664B3" w:rsidRPr="005C7BC4">
        <w:t xml:space="preserve">ignals a recession when the 3-month moving average of the national unemployment rate (U3) rises by at least 0.5 percentage points relative to its low in the previous 12 months. In </w:t>
      </w:r>
      <w:r w:rsidR="00A029E3" w:rsidRPr="005C7BC4">
        <w:t>August</w:t>
      </w:r>
      <w:r w:rsidR="008B1295" w:rsidRPr="005C7BC4">
        <w:t xml:space="preserve"> 2020</w:t>
      </w:r>
      <w:r w:rsidR="00F664B3" w:rsidRPr="005C7BC4">
        <w:t>, this indicator show</w:t>
      </w:r>
      <w:r w:rsidR="0057502A" w:rsidRPr="005C7BC4">
        <w:t>ed</w:t>
      </w:r>
      <w:r w:rsidR="00F664B3" w:rsidRPr="005C7BC4">
        <w:t xml:space="preserve"> that the three-month average of national U3 </w:t>
      </w:r>
      <w:r w:rsidR="00DD4BAB" w:rsidRPr="005C7BC4">
        <w:t>was</w:t>
      </w:r>
      <w:r w:rsidR="00F664B3" w:rsidRPr="005C7BC4">
        <w:t xml:space="preserve"> </w:t>
      </w:r>
      <w:r w:rsidR="005C7BC4" w:rsidRPr="005C7BC4">
        <w:t>5.3</w:t>
      </w:r>
      <w:r w:rsidR="007B5FCB" w:rsidRPr="005C7BC4">
        <w:t xml:space="preserve"> </w:t>
      </w:r>
      <w:r w:rsidR="00F664B3" w:rsidRPr="005C7BC4">
        <w:t xml:space="preserve">percentage points </w:t>
      </w:r>
      <w:r w:rsidR="00DD4BAB" w:rsidRPr="005C7BC4">
        <w:t>over</w:t>
      </w:r>
      <w:r w:rsidR="00F664B3" w:rsidRPr="005C7BC4">
        <w:t xml:space="preserve"> its 12-month low</w:t>
      </w:r>
      <w:r w:rsidR="005902A8" w:rsidRPr="005C7BC4">
        <w:t>. This is lower than the previous month, as the unemployment rate has fallen, however it still is a strong confirmation that the economy remains in recession.</w:t>
      </w:r>
    </w:p>
    <w:p w14:paraId="630409D1" w14:textId="49AD637E" w:rsidR="00DD4BAB" w:rsidRDefault="00DD4BAB" w:rsidP="00F664B3"/>
    <w:p w14:paraId="1BCEC5A6" w14:textId="6BA6FB99" w:rsidR="00A45538" w:rsidRDefault="00A45538" w:rsidP="00F664B3"/>
    <w:p w14:paraId="000F1598" w14:textId="5DBC292E" w:rsidR="00A45538" w:rsidRDefault="00A45538" w:rsidP="00F664B3"/>
    <w:p w14:paraId="1684B610" w14:textId="7C493796" w:rsidR="00A45538" w:rsidRDefault="00A45538" w:rsidP="00F664B3"/>
    <w:p w14:paraId="1FE6630A" w14:textId="40DD6AAA" w:rsidR="00A45538" w:rsidRDefault="00A45538" w:rsidP="00F664B3"/>
    <w:p w14:paraId="0951C1AB" w14:textId="207F82A8" w:rsidR="00005F5A" w:rsidRDefault="00005F5A" w:rsidP="00F664B3"/>
    <w:p w14:paraId="56C43016" w14:textId="3F7599A7" w:rsidR="00005F5A" w:rsidRDefault="00005F5A" w:rsidP="00F664B3"/>
    <w:p w14:paraId="1D947775" w14:textId="77777777" w:rsidR="00005F5A" w:rsidRPr="00F664B3" w:rsidRDefault="00005F5A" w:rsidP="00F664B3"/>
    <w:p w14:paraId="289FBEFF" w14:textId="56FBC826" w:rsidR="00523352" w:rsidRDefault="000D6CF5" w:rsidP="000D6CF5">
      <w:pPr>
        <w:pStyle w:val="Heading2"/>
        <w:pBdr>
          <w:bottom w:val="single" w:sz="4" w:space="1" w:color="auto"/>
        </w:pBdr>
      </w:pPr>
      <w:r>
        <w:t>Labor Markets</w:t>
      </w:r>
    </w:p>
    <w:p w14:paraId="25C75FDB" w14:textId="7BEADE95" w:rsidR="009A18BF" w:rsidRDefault="00E50B69" w:rsidP="00E50B69">
      <w:pPr>
        <w:spacing w:after="0"/>
      </w:pPr>
      <w:r>
        <w:t xml:space="preserve">The data for unemployment rates and labor force are derived from the </w:t>
      </w:r>
      <w:r w:rsidRPr="000A0105">
        <w:t>Local Area Unemployment Statistics (LAUS) program</w:t>
      </w:r>
      <w:r>
        <w:t xml:space="preserve"> and data for nonfarm payroll jobs are derived from </w:t>
      </w:r>
      <w:r w:rsidRPr="000A0105">
        <w:t>the Current Employment Statistics (CES) program</w:t>
      </w:r>
      <w:r>
        <w:t>. The numbers presented below are estimates</w:t>
      </w:r>
      <w:r w:rsidR="00814FC1">
        <w:t xml:space="preserve"> whic</w:t>
      </w:r>
      <w:r w:rsidR="00DC6A70">
        <w:t>h</w:t>
      </w:r>
      <w:r>
        <w:t xml:space="preserve"> vary month to month in either direction </w:t>
      </w:r>
      <w:proofErr w:type="gramStart"/>
      <w:r>
        <w:t>and</w:t>
      </w:r>
      <w:proofErr w:type="gramEnd"/>
      <w:r>
        <w:t xml:space="preserve"> are subject to substantial revision. The Maine Department of Labor cautions users to analyze general trends over several months as opposed to making conclusions based on changes month to month. </w:t>
      </w:r>
    </w:p>
    <w:p w14:paraId="790D66E9" w14:textId="77777777" w:rsidR="009A18BF" w:rsidRDefault="009A18BF" w:rsidP="00E50B69">
      <w:pPr>
        <w:spacing w:after="0"/>
        <w:rPr>
          <w:u w:val="single"/>
        </w:rPr>
      </w:pPr>
    </w:p>
    <w:p w14:paraId="67193995" w14:textId="3B8CBA56" w:rsidR="004E2C47" w:rsidRDefault="004E2C47" w:rsidP="004E2C47">
      <w:pPr>
        <w:pStyle w:val="Heading3"/>
      </w:pPr>
      <w:r>
        <w:rPr>
          <w:u w:val="single"/>
        </w:rPr>
        <w:t>Unemployment Rate:</w:t>
      </w:r>
      <w:r w:rsidR="005228FE">
        <w:rPr>
          <w:u w:val="single"/>
        </w:rPr>
        <w:t xml:space="preserve"> </w:t>
      </w:r>
      <w:r w:rsidR="004F4A45">
        <w:rPr>
          <w:u w:val="single"/>
        </w:rPr>
        <w:t>September</w:t>
      </w:r>
      <w:r w:rsidR="00343DE2">
        <w:rPr>
          <w:u w:val="single"/>
        </w:rPr>
        <w:t xml:space="preserve"> 2020 = </w:t>
      </w:r>
      <w:r w:rsidR="005228FE">
        <w:rPr>
          <w:u w:val="single"/>
        </w:rPr>
        <w:t>6</w:t>
      </w:r>
      <w:r w:rsidR="003808A8">
        <w:rPr>
          <w:u w:val="single"/>
        </w:rPr>
        <w:t>.</w:t>
      </w:r>
      <w:r w:rsidR="004F4A45">
        <w:rPr>
          <w:u w:val="single"/>
        </w:rPr>
        <w:t>1</w:t>
      </w:r>
      <w:r>
        <w:rPr>
          <w:u w:val="single"/>
        </w:rPr>
        <w:t>%</w:t>
      </w:r>
    </w:p>
    <w:p w14:paraId="3555CE75" w14:textId="3E289B16" w:rsidR="00CA40B4" w:rsidRDefault="009A26DF" w:rsidP="0081332A">
      <w:r w:rsidRPr="004F4A45">
        <w:t>The unemployment rate fell in September to 6.1</w:t>
      </w:r>
      <w:r w:rsidR="00696FB6" w:rsidRPr="004F4A45">
        <w:t>%</w:t>
      </w:r>
      <w:r w:rsidR="00F3147D" w:rsidRPr="004F4A45">
        <w:t xml:space="preserve"> in </w:t>
      </w:r>
      <w:r w:rsidR="00DC6A70" w:rsidRPr="004F4A45">
        <w:t>Main</w:t>
      </w:r>
      <w:r w:rsidR="00696FB6" w:rsidRPr="004F4A45">
        <w:t xml:space="preserve">e, compared to </w:t>
      </w:r>
      <w:r w:rsidRPr="004F4A45">
        <w:t>7.9</w:t>
      </w:r>
      <w:r w:rsidR="00696FB6" w:rsidRPr="004F4A45">
        <w:t>% nationally</w:t>
      </w:r>
      <w:r w:rsidR="005228FE" w:rsidRPr="004F4A45">
        <w:t xml:space="preserve">. This drop comes along with a drop in overall labor force participation. </w:t>
      </w:r>
      <w:r w:rsidR="00696FB6" w:rsidRPr="004F4A45">
        <w:t>The Maine Department of Labor cautions that the pandemic’s effect on survey operations has contributed to abnormally large error</w:t>
      </w:r>
      <w:r w:rsidR="00A029E3" w:rsidRPr="004F4A45">
        <w:t xml:space="preserve"> </w:t>
      </w:r>
      <w:r w:rsidR="00005F5A">
        <w:t xml:space="preserve">and labor </w:t>
      </w:r>
      <w:proofErr w:type="gramStart"/>
      <w:r w:rsidR="00005F5A">
        <w:t xml:space="preserve">misclassification, </w:t>
      </w:r>
      <w:r w:rsidR="00A029E3" w:rsidRPr="004F4A45">
        <w:t>and</w:t>
      </w:r>
      <w:proofErr w:type="gramEnd"/>
      <w:r w:rsidR="00A029E3" w:rsidRPr="004F4A45">
        <w:t xml:space="preserve"> estimates an alternative unemployment rate </w:t>
      </w:r>
      <w:r w:rsidR="00005F5A">
        <w:t>of</w:t>
      </w:r>
      <w:r w:rsidR="00A029E3" w:rsidRPr="004F4A45">
        <w:t xml:space="preserve"> 9.</w:t>
      </w:r>
      <w:r w:rsidRPr="004F4A45">
        <w:t>2</w:t>
      </w:r>
      <w:r w:rsidR="00A029E3" w:rsidRPr="004F4A45">
        <w:t>% in Maine.</w:t>
      </w:r>
    </w:p>
    <w:p w14:paraId="6429EDDF" w14:textId="0E8953EE" w:rsidR="00CA40B4" w:rsidRDefault="00A45538" w:rsidP="0081332A">
      <w:r>
        <w:rPr>
          <w:noProof/>
        </w:rPr>
        <w:drawing>
          <wp:inline distT="0" distB="0" distL="0" distR="0" wp14:anchorId="45657DBE" wp14:editId="32C376D6">
            <wp:extent cx="6477000" cy="1958340"/>
            <wp:effectExtent l="0" t="0" r="0" b="3810"/>
            <wp:docPr id="14" name="Chart 14">
              <a:extLst xmlns:a="http://schemas.openxmlformats.org/drawingml/2006/main">
                <a:ext uri="{FF2B5EF4-FFF2-40B4-BE49-F238E27FC236}">
                  <a16:creationId xmlns:a16="http://schemas.microsoft.com/office/drawing/2014/main" id="{D1BF75C1-FCE6-4465-9AC7-D831A50ED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3D22D0" w14:textId="68D3EDA6" w:rsidR="004E2C47" w:rsidRDefault="004E2C47" w:rsidP="004E2C47">
      <w:pPr>
        <w:pStyle w:val="Heading3"/>
        <w:rPr>
          <w:u w:val="single"/>
        </w:rPr>
      </w:pPr>
      <w:r>
        <w:t xml:space="preserve">Labor Force Participation Rate: </w:t>
      </w:r>
      <w:r w:rsidR="009A26DF">
        <w:rPr>
          <w:u w:val="single"/>
        </w:rPr>
        <w:t>September</w:t>
      </w:r>
      <w:r w:rsidRPr="004E2C47">
        <w:rPr>
          <w:u w:val="single"/>
        </w:rPr>
        <w:t xml:space="preserve"> 2020 = </w:t>
      </w:r>
      <w:r w:rsidR="009C3FEF">
        <w:rPr>
          <w:u w:val="single"/>
        </w:rPr>
        <w:t>6</w:t>
      </w:r>
      <w:r w:rsidR="005228FE">
        <w:rPr>
          <w:u w:val="single"/>
        </w:rPr>
        <w:t>0.</w:t>
      </w:r>
      <w:r w:rsidR="009A26DF">
        <w:rPr>
          <w:u w:val="single"/>
        </w:rPr>
        <w:t>9</w:t>
      </w:r>
      <w:r w:rsidRPr="004E2C47">
        <w:rPr>
          <w:u w:val="single"/>
        </w:rPr>
        <w:t xml:space="preserve">% </w:t>
      </w:r>
    </w:p>
    <w:p w14:paraId="3EF91093" w14:textId="420FD2B5" w:rsidR="004E2C47" w:rsidRPr="004E2C47" w:rsidRDefault="004E2C47" w:rsidP="004E2C47">
      <w:pPr>
        <w:rPr>
          <w:color w:val="auto"/>
        </w:rPr>
      </w:pPr>
      <w:r w:rsidRPr="009A26DF">
        <w:rPr>
          <w:rFonts w:eastAsiaTheme="majorEastAsia"/>
          <w:color w:val="auto"/>
          <w:szCs w:val="24"/>
        </w:rPr>
        <w:t xml:space="preserve">Labor force participation </w:t>
      </w:r>
      <w:r w:rsidR="009A26DF" w:rsidRPr="009A26DF">
        <w:rPr>
          <w:rFonts w:eastAsiaTheme="majorEastAsia"/>
          <w:color w:val="auto"/>
          <w:szCs w:val="24"/>
        </w:rPr>
        <w:t>rose</w:t>
      </w:r>
      <w:r w:rsidR="008E72CA" w:rsidRPr="009A26DF">
        <w:rPr>
          <w:rFonts w:eastAsiaTheme="majorEastAsia"/>
          <w:color w:val="auto"/>
          <w:szCs w:val="24"/>
        </w:rPr>
        <w:t xml:space="preserve"> in Maine in</w:t>
      </w:r>
      <w:r w:rsidR="009A26DF" w:rsidRPr="009A26DF">
        <w:rPr>
          <w:rFonts w:eastAsiaTheme="majorEastAsia"/>
          <w:color w:val="auto"/>
          <w:szCs w:val="24"/>
        </w:rPr>
        <w:t xml:space="preserve"> September</w:t>
      </w:r>
      <w:r w:rsidR="00F3147D" w:rsidRPr="009A26DF">
        <w:rPr>
          <w:rFonts w:eastAsiaTheme="majorEastAsia"/>
          <w:color w:val="auto"/>
          <w:szCs w:val="24"/>
        </w:rPr>
        <w:t xml:space="preserve">, </w:t>
      </w:r>
      <w:r w:rsidR="008E72CA" w:rsidRPr="009A26DF">
        <w:rPr>
          <w:rFonts w:eastAsiaTheme="majorEastAsia"/>
          <w:color w:val="auto"/>
          <w:szCs w:val="24"/>
        </w:rPr>
        <w:t>to 60.</w:t>
      </w:r>
      <w:r w:rsidR="009A26DF" w:rsidRPr="009A26DF">
        <w:rPr>
          <w:rFonts w:eastAsiaTheme="majorEastAsia"/>
          <w:color w:val="auto"/>
          <w:szCs w:val="24"/>
        </w:rPr>
        <w:t>9</w:t>
      </w:r>
      <w:r w:rsidRPr="009A26DF">
        <w:rPr>
          <w:rFonts w:eastAsiaTheme="majorEastAsia"/>
          <w:color w:val="auto"/>
          <w:szCs w:val="24"/>
        </w:rPr>
        <w:t>%</w:t>
      </w:r>
      <w:r w:rsidR="00A029E3" w:rsidRPr="009A26DF">
        <w:rPr>
          <w:rFonts w:eastAsiaTheme="majorEastAsia"/>
          <w:color w:val="auto"/>
          <w:szCs w:val="24"/>
        </w:rPr>
        <w:t>, below th</w:t>
      </w:r>
      <w:r w:rsidR="008E72CA" w:rsidRPr="009A26DF">
        <w:rPr>
          <w:rFonts w:eastAsiaTheme="majorEastAsia"/>
          <w:color w:val="auto"/>
          <w:szCs w:val="24"/>
        </w:rPr>
        <w:t>e nation’s</w:t>
      </w:r>
      <w:r w:rsidR="009C3FEF" w:rsidRPr="009A26DF">
        <w:rPr>
          <w:rFonts w:eastAsiaTheme="majorEastAsia"/>
          <w:color w:val="auto"/>
          <w:szCs w:val="24"/>
        </w:rPr>
        <w:t xml:space="preserve"> 61.</w:t>
      </w:r>
      <w:r w:rsidR="009A26DF" w:rsidRPr="009A26DF">
        <w:rPr>
          <w:rFonts w:eastAsiaTheme="majorEastAsia"/>
          <w:color w:val="auto"/>
          <w:szCs w:val="24"/>
        </w:rPr>
        <w:t>4</w:t>
      </w:r>
      <w:r w:rsidR="009C3FEF" w:rsidRPr="009A26DF">
        <w:rPr>
          <w:rFonts w:eastAsiaTheme="majorEastAsia"/>
          <w:color w:val="auto"/>
          <w:szCs w:val="24"/>
        </w:rPr>
        <w:t xml:space="preserve"> percent</w:t>
      </w:r>
      <w:r w:rsidR="008E72CA" w:rsidRPr="009A26DF">
        <w:rPr>
          <w:rFonts w:eastAsiaTheme="majorEastAsia"/>
          <w:color w:val="auto"/>
          <w:szCs w:val="24"/>
        </w:rPr>
        <w:t xml:space="preserve">. </w:t>
      </w:r>
    </w:p>
    <w:p w14:paraId="3607E5FC" w14:textId="211DB10B" w:rsidR="002D6627" w:rsidRDefault="009A26DF" w:rsidP="0081332A">
      <w:r>
        <w:rPr>
          <w:noProof/>
        </w:rPr>
        <w:lastRenderedPageBreak/>
        <w:drawing>
          <wp:inline distT="0" distB="0" distL="0" distR="0" wp14:anchorId="0B1DC798" wp14:editId="42AD2B7E">
            <wp:extent cx="6823788" cy="2852523"/>
            <wp:effectExtent l="0" t="0" r="0" b="5080"/>
            <wp:docPr id="15" name="Chart 15">
              <a:extLst xmlns:a="http://schemas.openxmlformats.org/drawingml/2006/main">
                <a:ext uri="{FF2B5EF4-FFF2-40B4-BE49-F238E27FC236}">
                  <a16:creationId xmlns:a16="http://schemas.microsoft.com/office/drawing/2014/main" id="{115C8B03-20D6-4C15-B303-29611766A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950EB6" w14:textId="798EB299" w:rsidR="002D6627" w:rsidRDefault="004E2C47" w:rsidP="004E2C47">
      <w:pPr>
        <w:pStyle w:val="Heading3"/>
        <w:rPr>
          <w:b/>
        </w:rPr>
      </w:pPr>
      <w:r>
        <w:t xml:space="preserve">Total Nonfarm Payroll Job Estimates: </w:t>
      </w:r>
      <w:r w:rsidR="004F4A45">
        <w:rPr>
          <w:u w:val="single"/>
        </w:rPr>
        <w:t>September</w:t>
      </w:r>
      <w:r w:rsidR="0004161D">
        <w:rPr>
          <w:u w:val="single"/>
        </w:rPr>
        <w:t xml:space="preserve"> 2020</w:t>
      </w:r>
      <w:r w:rsidRPr="004E2C47">
        <w:rPr>
          <w:u w:val="single"/>
        </w:rPr>
        <w:t xml:space="preserve"> = </w:t>
      </w:r>
      <w:r w:rsidR="005228FE">
        <w:rPr>
          <w:u w:val="single"/>
        </w:rPr>
        <w:t>5</w:t>
      </w:r>
      <w:r w:rsidR="004F4A45">
        <w:rPr>
          <w:u w:val="single"/>
        </w:rPr>
        <w:t>97,4</w:t>
      </w:r>
      <w:r w:rsidR="005228FE">
        <w:rPr>
          <w:u w:val="single"/>
        </w:rPr>
        <w:t>00</w:t>
      </w:r>
    </w:p>
    <w:p w14:paraId="287EEE49" w14:textId="1C7C46E6" w:rsidR="004E2C47" w:rsidRPr="004E2C47" w:rsidRDefault="002B7A51" w:rsidP="004E2C47">
      <w:pPr>
        <w:rPr>
          <w:color w:val="auto"/>
        </w:rPr>
      </w:pPr>
      <w:r w:rsidRPr="0056095B">
        <w:rPr>
          <w:rFonts w:eastAsiaTheme="majorEastAsia"/>
          <w:color w:val="auto"/>
          <w:szCs w:val="24"/>
        </w:rPr>
        <w:t>S</w:t>
      </w:r>
      <w:r w:rsidR="004E2C47" w:rsidRPr="0056095B">
        <w:rPr>
          <w:rFonts w:eastAsiaTheme="majorEastAsia"/>
          <w:color w:val="auto"/>
          <w:szCs w:val="24"/>
        </w:rPr>
        <w:t xml:space="preserve">easonally adjusted total nonfarm employment </w:t>
      </w:r>
      <w:r w:rsidRPr="0056095B">
        <w:rPr>
          <w:rFonts w:eastAsiaTheme="majorEastAsia"/>
          <w:color w:val="auto"/>
          <w:szCs w:val="24"/>
        </w:rPr>
        <w:t xml:space="preserve">grew by </w:t>
      </w:r>
      <w:r w:rsidR="00A36D59" w:rsidRPr="0056095B">
        <w:rPr>
          <w:rFonts w:eastAsiaTheme="majorEastAsia"/>
          <w:color w:val="auto"/>
          <w:szCs w:val="24"/>
        </w:rPr>
        <w:t>4,700</w:t>
      </w:r>
      <w:r w:rsidRPr="0056095B">
        <w:rPr>
          <w:rFonts w:eastAsiaTheme="majorEastAsia"/>
          <w:color w:val="auto"/>
          <w:szCs w:val="24"/>
        </w:rPr>
        <w:t xml:space="preserve"> in Maine,</w:t>
      </w:r>
      <w:r w:rsidR="00005F5A">
        <w:rPr>
          <w:rFonts w:eastAsiaTheme="majorEastAsia"/>
          <w:color w:val="auto"/>
          <w:szCs w:val="24"/>
        </w:rPr>
        <w:t xml:space="preserve"> by</w:t>
      </w:r>
      <w:r w:rsidRPr="0056095B">
        <w:rPr>
          <w:rFonts w:eastAsiaTheme="majorEastAsia"/>
          <w:color w:val="auto"/>
          <w:szCs w:val="24"/>
        </w:rPr>
        <w:t xml:space="preserve"> </w:t>
      </w:r>
      <w:r w:rsidR="00A36D59" w:rsidRPr="0056095B">
        <w:rPr>
          <w:rFonts w:eastAsiaTheme="majorEastAsia"/>
          <w:color w:val="auto"/>
          <w:szCs w:val="24"/>
        </w:rPr>
        <w:t>65,800</w:t>
      </w:r>
      <w:r w:rsidRPr="0056095B">
        <w:rPr>
          <w:rFonts w:eastAsiaTheme="majorEastAsia"/>
          <w:color w:val="auto"/>
          <w:szCs w:val="24"/>
        </w:rPr>
        <w:t xml:space="preserve"> in New England and </w:t>
      </w:r>
      <w:r w:rsidR="00005F5A">
        <w:rPr>
          <w:rFonts w:eastAsiaTheme="majorEastAsia"/>
          <w:color w:val="auto"/>
          <w:szCs w:val="24"/>
        </w:rPr>
        <w:t xml:space="preserve">by </w:t>
      </w:r>
      <w:r w:rsidR="00A36D59" w:rsidRPr="0056095B">
        <w:rPr>
          <w:rFonts w:eastAsiaTheme="majorEastAsia"/>
          <w:color w:val="auto"/>
          <w:szCs w:val="24"/>
        </w:rPr>
        <w:t>661,000</w:t>
      </w:r>
      <w:r w:rsidR="00EF6566" w:rsidRPr="0056095B">
        <w:rPr>
          <w:rFonts w:eastAsiaTheme="majorEastAsia"/>
          <w:color w:val="auto"/>
          <w:szCs w:val="24"/>
        </w:rPr>
        <w:t xml:space="preserve"> nationwide in </w:t>
      </w:r>
      <w:r w:rsidR="00005F5A">
        <w:rPr>
          <w:rFonts w:eastAsiaTheme="majorEastAsia"/>
          <w:color w:val="auto"/>
          <w:szCs w:val="24"/>
        </w:rPr>
        <w:t>September</w:t>
      </w:r>
      <w:r w:rsidR="004E2C47" w:rsidRPr="0056095B">
        <w:rPr>
          <w:rFonts w:eastAsiaTheme="majorEastAsia"/>
          <w:color w:val="auto"/>
          <w:szCs w:val="24"/>
        </w:rPr>
        <w:t>.</w:t>
      </w:r>
      <w:r w:rsidR="00A36D59" w:rsidRPr="0056095B">
        <w:rPr>
          <w:rFonts w:eastAsiaTheme="majorEastAsia"/>
          <w:color w:val="auto"/>
          <w:szCs w:val="24"/>
        </w:rPr>
        <w:t xml:space="preserve"> While private nonfarm jobs increased by 7,900 public sector jobs fell by 3,200 as schools made fewer hires than </w:t>
      </w:r>
      <w:r w:rsidR="00005F5A">
        <w:rPr>
          <w:rFonts w:eastAsiaTheme="majorEastAsia"/>
          <w:color w:val="auto"/>
          <w:szCs w:val="24"/>
        </w:rPr>
        <w:t>usual</w:t>
      </w:r>
      <w:r w:rsidR="00A36D59" w:rsidRPr="0056095B">
        <w:rPr>
          <w:rFonts w:eastAsiaTheme="majorEastAsia"/>
          <w:color w:val="auto"/>
          <w:szCs w:val="24"/>
        </w:rPr>
        <w:t xml:space="preserve"> and Census operations ended</w:t>
      </w:r>
      <w:r w:rsidR="00D438E9" w:rsidRPr="0056095B">
        <w:rPr>
          <w:rFonts w:eastAsiaTheme="majorEastAsia"/>
          <w:color w:val="auto"/>
          <w:szCs w:val="24"/>
        </w:rPr>
        <w:t>.</w:t>
      </w:r>
      <w:r w:rsidR="004E2C47" w:rsidRPr="0056095B">
        <w:rPr>
          <w:rFonts w:eastAsiaTheme="majorEastAsia"/>
          <w:color w:val="auto"/>
          <w:szCs w:val="24"/>
        </w:rPr>
        <w:t xml:space="preserve"> </w:t>
      </w:r>
      <w:r w:rsidR="00EF6566" w:rsidRPr="0056095B">
        <w:rPr>
          <w:rFonts w:eastAsiaTheme="majorEastAsia"/>
          <w:color w:val="auto"/>
          <w:szCs w:val="24"/>
        </w:rPr>
        <w:t>Maine</w:t>
      </w:r>
      <w:r w:rsidR="00DC6A70" w:rsidRPr="0056095B">
        <w:rPr>
          <w:rFonts w:eastAsiaTheme="majorEastAsia"/>
          <w:color w:val="auto"/>
          <w:szCs w:val="24"/>
        </w:rPr>
        <w:t>’s employment level</w:t>
      </w:r>
      <w:r w:rsidR="00EF6566" w:rsidRPr="0056095B">
        <w:rPr>
          <w:rFonts w:eastAsiaTheme="majorEastAsia"/>
          <w:color w:val="auto"/>
          <w:szCs w:val="24"/>
        </w:rPr>
        <w:t xml:space="preserve"> remains </w:t>
      </w:r>
      <w:r w:rsidR="00A36D59" w:rsidRPr="0056095B">
        <w:rPr>
          <w:rFonts w:eastAsiaTheme="majorEastAsia"/>
          <w:color w:val="auto"/>
          <w:szCs w:val="24"/>
        </w:rPr>
        <w:t>8.0</w:t>
      </w:r>
      <w:r w:rsidR="00EF6566" w:rsidRPr="0056095B">
        <w:rPr>
          <w:rFonts w:eastAsiaTheme="majorEastAsia"/>
          <w:color w:val="auto"/>
          <w:szCs w:val="24"/>
        </w:rPr>
        <w:t xml:space="preserve">% below </w:t>
      </w:r>
      <w:r w:rsidR="00A36D59" w:rsidRPr="0056095B">
        <w:rPr>
          <w:rFonts w:eastAsiaTheme="majorEastAsia"/>
          <w:color w:val="auto"/>
          <w:szCs w:val="24"/>
        </w:rPr>
        <w:t>September 2019 levels</w:t>
      </w:r>
      <w:r w:rsidR="00EF6566" w:rsidRPr="0056095B">
        <w:rPr>
          <w:rFonts w:eastAsiaTheme="majorEastAsia"/>
          <w:color w:val="auto"/>
          <w:szCs w:val="24"/>
        </w:rPr>
        <w:t xml:space="preserve">, while New England and the U.S. </w:t>
      </w:r>
      <w:r w:rsidR="00D438E9" w:rsidRPr="0056095B">
        <w:rPr>
          <w:rFonts w:eastAsiaTheme="majorEastAsia"/>
          <w:color w:val="auto"/>
          <w:szCs w:val="24"/>
        </w:rPr>
        <w:t xml:space="preserve">fall below </w:t>
      </w:r>
      <w:r w:rsidR="00A36D59" w:rsidRPr="0056095B">
        <w:rPr>
          <w:rFonts w:eastAsiaTheme="majorEastAsia"/>
          <w:color w:val="auto"/>
          <w:szCs w:val="24"/>
        </w:rPr>
        <w:t>September</w:t>
      </w:r>
      <w:r w:rsidR="00D438E9" w:rsidRPr="0056095B">
        <w:rPr>
          <w:rFonts w:eastAsiaTheme="majorEastAsia"/>
          <w:color w:val="auto"/>
          <w:szCs w:val="24"/>
        </w:rPr>
        <w:t xml:space="preserve"> 2019 by </w:t>
      </w:r>
      <w:r w:rsidR="00A36D59" w:rsidRPr="0056095B">
        <w:rPr>
          <w:rFonts w:eastAsiaTheme="majorEastAsia"/>
          <w:color w:val="auto"/>
          <w:szCs w:val="24"/>
        </w:rPr>
        <w:t>8</w:t>
      </w:r>
      <w:r w:rsidR="005228FE" w:rsidRPr="0056095B">
        <w:rPr>
          <w:rFonts w:eastAsiaTheme="majorEastAsia"/>
          <w:color w:val="auto"/>
          <w:szCs w:val="24"/>
        </w:rPr>
        <w:t>.3</w:t>
      </w:r>
      <w:r w:rsidR="00EF6566" w:rsidRPr="0056095B">
        <w:rPr>
          <w:rFonts w:eastAsiaTheme="majorEastAsia"/>
          <w:color w:val="auto"/>
          <w:szCs w:val="24"/>
        </w:rPr>
        <w:t>% and</w:t>
      </w:r>
      <w:r w:rsidR="00DC6A70" w:rsidRPr="0056095B">
        <w:rPr>
          <w:rFonts w:eastAsiaTheme="majorEastAsia"/>
          <w:color w:val="auto"/>
          <w:szCs w:val="24"/>
        </w:rPr>
        <w:t xml:space="preserve"> </w:t>
      </w:r>
      <w:r w:rsidR="005228FE" w:rsidRPr="0056095B">
        <w:rPr>
          <w:rFonts w:eastAsiaTheme="majorEastAsia"/>
          <w:color w:val="auto"/>
          <w:szCs w:val="24"/>
        </w:rPr>
        <w:t>6.</w:t>
      </w:r>
      <w:r w:rsidR="00A36D59" w:rsidRPr="0056095B">
        <w:rPr>
          <w:rFonts w:eastAsiaTheme="majorEastAsia"/>
          <w:color w:val="auto"/>
          <w:szCs w:val="24"/>
        </w:rPr>
        <w:t>4</w:t>
      </w:r>
      <w:r w:rsidR="00EF6566" w:rsidRPr="0056095B">
        <w:rPr>
          <w:rFonts w:eastAsiaTheme="majorEastAsia"/>
          <w:color w:val="auto"/>
          <w:szCs w:val="24"/>
        </w:rPr>
        <w:t>%</w:t>
      </w:r>
      <w:r w:rsidR="00D03863" w:rsidRPr="0056095B">
        <w:rPr>
          <w:rFonts w:eastAsiaTheme="majorEastAsia"/>
          <w:color w:val="auto"/>
          <w:szCs w:val="24"/>
        </w:rPr>
        <w:t>, respectively</w:t>
      </w:r>
      <w:r w:rsidR="00EF6566" w:rsidRPr="0056095B">
        <w:rPr>
          <w:rFonts w:eastAsiaTheme="majorEastAsia"/>
          <w:color w:val="auto"/>
          <w:szCs w:val="24"/>
        </w:rPr>
        <w:t>.</w:t>
      </w:r>
      <w:r w:rsidR="004E2C47">
        <w:rPr>
          <w:rFonts w:eastAsiaTheme="majorEastAsia"/>
          <w:color w:val="auto"/>
          <w:szCs w:val="24"/>
        </w:rPr>
        <w:t xml:space="preserve"> </w:t>
      </w:r>
    </w:p>
    <w:p w14:paraId="28313B15" w14:textId="66DA73A4" w:rsidR="002D6627" w:rsidRDefault="002D6627" w:rsidP="0081332A"/>
    <w:p w14:paraId="4C7DC65E" w14:textId="7ED70E7A" w:rsidR="00CA40B4" w:rsidRPr="00F44A7D" w:rsidRDefault="00A36D59">
      <w:r>
        <w:rPr>
          <w:noProof/>
        </w:rPr>
        <w:drawing>
          <wp:inline distT="0" distB="0" distL="0" distR="0" wp14:anchorId="1BC21B02" wp14:editId="46864027">
            <wp:extent cx="6537960" cy="2171700"/>
            <wp:effectExtent l="0" t="0" r="0" b="0"/>
            <wp:docPr id="16" name="Chart 16">
              <a:extLst xmlns:a="http://schemas.openxmlformats.org/drawingml/2006/main">
                <a:ext uri="{FF2B5EF4-FFF2-40B4-BE49-F238E27FC236}">
                  <a16:creationId xmlns:a16="http://schemas.microsoft.com/office/drawing/2014/main" id="{77377B09-65E6-4EAB-ACE5-2313969FF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00E5A9" w14:textId="77777777" w:rsidR="00E57D38" w:rsidRDefault="002B7B96" w:rsidP="002B7B96">
      <w:pPr>
        <w:pStyle w:val="Heading2"/>
        <w:pBdr>
          <w:bottom w:val="single" w:sz="4" w:space="1" w:color="auto"/>
        </w:pBdr>
      </w:pPr>
      <w:r>
        <w:t xml:space="preserve">Housing </w:t>
      </w:r>
    </w:p>
    <w:p w14:paraId="4DF86DD6" w14:textId="53BD4221" w:rsidR="00FD129B" w:rsidRDefault="00E57D38" w:rsidP="00E57D38">
      <w:pPr>
        <w:pStyle w:val="Heading3"/>
      </w:pPr>
      <w:r>
        <w:t>Sales</w:t>
      </w:r>
      <w:r w:rsidR="00884803">
        <w:t xml:space="preserve"> </w:t>
      </w:r>
    </w:p>
    <w:p w14:paraId="4993D5D8" w14:textId="66F4B857" w:rsidR="002B7B96" w:rsidRPr="002031BE" w:rsidRDefault="00D869A9" w:rsidP="002B7B96">
      <w:pPr>
        <w:spacing w:after="0"/>
      </w:pPr>
      <w:r w:rsidRPr="002068C7">
        <w:t xml:space="preserve">Home sales </w:t>
      </w:r>
      <w:r w:rsidR="003C3EBB" w:rsidRPr="002068C7">
        <w:t xml:space="preserve">were </w:t>
      </w:r>
      <w:r w:rsidR="002031BE" w:rsidRPr="002068C7">
        <w:t xml:space="preserve">up </w:t>
      </w:r>
      <w:r w:rsidR="0056095B" w:rsidRPr="002068C7">
        <w:t>22.8</w:t>
      </w:r>
      <w:r w:rsidR="002031BE" w:rsidRPr="002068C7">
        <w:t xml:space="preserve">% statewide in </w:t>
      </w:r>
      <w:r w:rsidR="0056095B" w:rsidRPr="002068C7">
        <w:t>September</w:t>
      </w:r>
      <w:r w:rsidR="002031BE" w:rsidRPr="002068C7">
        <w:t xml:space="preserve"> compared to a year ago</w:t>
      </w:r>
      <w:r w:rsidR="003C3EBB" w:rsidRPr="002068C7">
        <w:t xml:space="preserve">. </w:t>
      </w:r>
      <w:r w:rsidR="002031BE" w:rsidRPr="002068C7">
        <w:t>Meanwhile</w:t>
      </w:r>
      <w:r w:rsidR="003C3EBB" w:rsidRPr="002068C7">
        <w:t xml:space="preserve">, the median sale price of single-family homes in Maine was </w:t>
      </w:r>
      <w:r w:rsidR="002068C7" w:rsidRPr="002068C7">
        <w:t>19.6</w:t>
      </w:r>
      <w:r w:rsidR="003C3EBB" w:rsidRPr="002068C7">
        <w:t xml:space="preserve">% higher than in </w:t>
      </w:r>
      <w:r w:rsidR="002068C7" w:rsidRPr="002068C7">
        <w:t>Sep</w:t>
      </w:r>
      <w:r w:rsidR="00AB365D" w:rsidRPr="002068C7">
        <w:t>t</w:t>
      </w:r>
      <w:r w:rsidR="002068C7" w:rsidRPr="002068C7">
        <w:t>ember</w:t>
      </w:r>
      <w:r w:rsidR="003C3EBB" w:rsidRPr="002068C7">
        <w:t xml:space="preserve"> 2019, at $</w:t>
      </w:r>
      <w:r w:rsidR="002031BE" w:rsidRPr="002068C7">
        <w:t>2</w:t>
      </w:r>
      <w:r w:rsidR="00AB365D" w:rsidRPr="002068C7">
        <w:t>7</w:t>
      </w:r>
      <w:r w:rsidR="002068C7" w:rsidRPr="002068C7">
        <w:t>3,5</w:t>
      </w:r>
      <w:r w:rsidR="00AB365D" w:rsidRPr="002068C7">
        <w:t>00</w:t>
      </w:r>
      <w:r w:rsidR="003C3EBB" w:rsidRPr="002068C7">
        <w:t xml:space="preserve">. </w:t>
      </w:r>
      <w:r w:rsidR="002031BE" w:rsidRPr="002068C7">
        <w:t xml:space="preserve">The greatest </w:t>
      </w:r>
      <w:r w:rsidR="00AA5911" w:rsidRPr="002068C7">
        <w:t xml:space="preserve">growth in median sale price </w:t>
      </w:r>
      <w:r w:rsidR="00AB365D" w:rsidRPr="002068C7">
        <w:t>occurred in several rural counties</w:t>
      </w:r>
      <w:r w:rsidR="00131785" w:rsidRPr="002068C7">
        <w:t xml:space="preserve"> such as</w:t>
      </w:r>
      <w:r w:rsidR="00AB365D" w:rsidRPr="002068C7">
        <w:t xml:space="preserve"> </w:t>
      </w:r>
      <w:r w:rsidR="002068C7" w:rsidRPr="002068C7">
        <w:t>Washington, Lincoln, and Hancock counties,</w:t>
      </w:r>
      <w:r w:rsidR="00AB365D" w:rsidRPr="002068C7">
        <w:t xml:space="preserve"> which all </w:t>
      </w:r>
      <w:r w:rsidR="00AA5911" w:rsidRPr="002068C7">
        <w:t>saw increases</w:t>
      </w:r>
      <w:r w:rsidR="00AB365D" w:rsidRPr="002068C7">
        <w:t xml:space="preserve"> over 30%</w:t>
      </w:r>
      <w:r w:rsidR="002031BE" w:rsidRPr="002068C7">
        <w:t>.</w:t>
      </w:r>
      <w:r w:rsidR="002031BE" w:rsidRPr="00AB365D">
        <w:t xml:space="preserve"> </w:t>
      </w:r>
    </w:p>
    <w:p w14:paraId="6874369E" w14:textId="77777777" w:rsidR="002B7B96" w:rsidRDefault="002B7B96" w:rsidP="002B7B96">
      <w:pPr>
        <w:spacing w:after="0"/>
      </w:pPr>
    </w:p>
    <w:tbl>
      <w:tblPr>
        <w:tblStyle w:val="TableGrid"/>
        <w:tblW w:w="9246" w:type="dxa"/>
        <w:jc w:val="center"/>
        <w:tblLook w:val="04A0" w:firstRow="1" w:lastRow="0" w:firstColumn="1" w:lastColumn="0" w:noHBand="0" w:noVBand="1"/>
      </w:tblPr>
      <w:tblGrid>
        <w:gridCol w:w="1808"/>
        <w:gridCol w:w="1548"/>
        <w:gridCol w:w="1409"/>
        <w:gridCol w:w="1440"/>
        <w:gridCol w:w="1289"/>
        <w:gridCol w:w="1752"/>
      </w:tblGrid>
      <w:tr w:rsidR="002B7B96" w:rsidRPr="00135165" w14:paraId="01604B1F" w14:textId="77777777" w:rsidTr="002B7B96">
        <w:trPr>
          <w:trHeight w:val="683"/>
          <w:jc w:val="center"/>
        </w:trPr>
        <w:tc>
          <w:tcPr>
            <w:tcW w:w="1808" w:type="dxa"/>
            <w:shd w:val="clear" w:color="auto" w:fill="D9D9D9" w:themeFill="background1" w:themeFillShade="D9"/>
            <w:noWrap/>
            <w:hideMark/>
          </w:tcPr>
          <w:p w14:paraId="55F211B8" w14:textId="77777777" w:rsidR="002B7B96" w:rsidRPr="005743A7" w:rsidRDefault="002B7B96" w:rsidP="002B7B96">
            <w:pPr>
              <w:jc w:val="center"/>
              <w:rPr>
                <w:b/>
              </w:rPr>
            </w:pPr>
            <w:r>
              <w:rPr>
                <w:b/>
              </w:rPr>
              <w:t>Geography</w:t>
            </w:r>
          </w:p>
        </w:tc>
        <w:tc>
          <w:tcPr>
            <w:tcW w:w="1548" w:type="dxa"/>
            <w:shd w:val="clear" w:color="auto" w:fill="D9D9D9" w:themeFill="background1" w:themeFillShade="D9"/>
            <w:noWrap/>
            <w:hideMark/>
          </w:tcPr>
          <w:p w14:paraId="429EADFD" w14:textId="77777777" w:rsidR="002B7B96" w:rsidRPr="005743A7" w:rsidRDefault="002B7B96" w:rsidP="002B7B96">
            <w:pPr>
              <w:jc w:val="center"/>
              <w:rPr>
                <w:b/>
              </w:rPr>
            </w:pPr>
            <w:r w:rsidRPr="005743A7">
              <w:rPr>
                <w:b/>
              </w:rPr>
              <w:t>No. of Units Sold</w:t>
            </w:r>
          </w:p>
        </w:tc>
        <w:tc>
          <w:tcPr>
            <w:tcW w:w="1409" w:type="dxa"/>
            <w:shd w:val="clear" w:color="auto" w:fill="D9D9D9" w:themeFill="background1" w:themeFillShade="D9"/>
          </w:tcPr>
          <w:p w14:paraId="5C85A8A9" w14:textId="77777777" w:rsidR="002B7B96" w:rsidRPr="005743A7" w:rsidRDefault="002B7B96" w:rsidP="002B7B96">
            <w:pPr>
              <w:jc w:val="center"/>
              <w:rPr>
                <w:b/>
              </w:rPr>
            </w:pPr>
            <w:r w:rsidRPr="005743A7">
              <w:rPr>
                <w:b/>
              </w:rPr>
              <w:t>One Year Change</w:t>
            </w:r>
            <w:r>
              <w:rPr>
                <w:b/>
              </w:rPr>
              <w:t xml:space="preserve"> (units)</w:t>
            </w:r>
          </w:p>
        </w:tc>
        <w:tc>
          <w:tcPr>
            <w:tcW w:w="1440" w:type="dxa"/>
            <w:shd w:val="clear" w:color="auto" w:fill="D9D9D9" w:themeFill="background1" w:themeFillShade="D9"/>
            <w:noWrap/>
            <w:hideMark/>
          </w:tcPr>
          <w:p w14:paraId="0EA44EDD" w14:textId="77777777" w:rsidR="002B7B96" w:rsidRPr="005743A7" w:rsidRDefault="002B7B96" w:rsidP="002B7B96">
            <w:pPr>
              <w:jc w:val="center"/>
              <w:rPr>
                <w:b/>
              </w:rPr>
            </w:pPr>
            <w:r w:rsidRPr="005743A7">
              <w:rPr>
                <w:b/>
              </w:rPr>
              <w:t>Median Sale Price</w:t>
            </w:r>
          </w:p>
        </w:tc>
        <w:tc>
          <w:tcPr>
            <w:tcW w:w="1289" w:type="dxa"/>
            <w:shd w:val="clear" w:color="auto" w:fill="D9D9D9" w:themeFill="background1" w:themeFillShade="D9"/>
            <w:noWrap/>
            <w:hideMark/>
          </w:tcPr>
          <w:p w14:paraId="5072243D" w14:textId="77777777" w:rsidR="002B7B96" w:rsidRPr="005743A7" w:rsidRDefault="002B7B96" w:rsidP="002B7B96">
            <w:pPr>
              <w:jc w:val="center"/>
              <w:rPr>
                <w:b/>
              </w:rPr>
            </w:pPr>
            <w:r w:rsidRPr="005743A7">
              <w:rPr>
                <w:b/>
              </w:rPr>
              <w:t>One Year Change</w:t>
            </w:r>
            <w:r>
              <w:rPr>
                <w:b/>
              </w:rPr>
              <w:t xml:space="preserve"> (Price)</w:t>
            </w:r>
          </w:p>
        </w:tc>
        <w:tc>
          <w:tcPr>
            <w:tcW w:w="1752" w:type="dxa"/>
            <w:shd w:val="clear" w:color="auto" w:fill="D9D9D9" w:themeFill="background1" w:themeFillShade="D9"/>
            <w:noWrap/>
            <w:hideMark/>
          </w:tcPr>
          <w:p w14:paraId="45E51B97" w14:textId="77777777" w:rsidR="002B7B96" w:rsidRPr="005743A7" w:rsidRDefault="002B7B96" w:rsidP="002B7B96">
            <w:pPr>
              <w:jc w:val="center"/>
              <w:rPr>
                <w:b/>
              </w:rPr>
            </w:pPr>
            <w:r w:rsidRPr="005743A7">
              <w:rPr>
                <w:b/>
              </w:rPr>
              <w:t>One Month Change</w:t>
            </w:r>
            <w:r>
              <w:rPr>
                <w:b/>
              </w:rPr>
              <w:t xml:space="preserve"> (Price)</w:t>
            </w:r>
          </w:p>
        </w:tc>
      </w:tr>
      <w:tr w:rsidR="0056095B" w:rsidRPr="0041256E" w14:paraId="7F251DE4" w14:textId="77777777" w:rsidTr="00AB365D">
        <w:tblPrEx>
          <w:jc w:val="left"/>
        </w:tblPrEx>
        <w:trPr>
          <w:trHeight w:val="315"/>
        </w:trPr>
        <w:tc>
          <w:tcPr>
            <w:tcW w:w="1808" w:type="dxa"/>
            <w:noWrap/>
            <w:vAlign w:val="bottom"/>
            <w:hideMark/>
          </w:tcPr>
          <w:p w14:paraId="662EA0E0" w14:textId="6B477D55" w:rsidR="0056095B" w:rsidRPr="0041256E" w:rsidRDefault="0056095B" w:rsidP="0056095B">
            <w:pPr>
              <w:jc w:val="center"/>
              <w:rPr>
                <w:rFonts w:eastAsia="Times New Roman" w:cs="Calibri"/>
                <w:color w:val="000000"/>
                <w:szCs w:val="24"/>
              </w:rPr>
            </w:pPr>
            <w:r>
              <w:rPr>
                <w:rFonts w:cs="Calibri"/>
                <w:color w:val="000000"/>
                <w:sz w:val="22"/>
                <w:szCs w:val="22"/>
              </w:rPr>
              <w:t>Androscoggin</w:t>
            </w:r>
          </w:p>
        </w:tc>
        <w:tc>
          <w:tcPr>
            <w:tcW w:w="1548" w:type="dxa"/>
            <w:noWrap/>
            <w:vAlign w:val="bottom"/>
            <w:hideMark/>
          </w:tcPr>
          <w:p w14:paraId="25DEAF8F" w14:textId="1707E31C" w:rsidR="0056095B" w:rsidRPr="0041256E" w:rsidRDefault="0056095B" w:rsidP="0056095B">
            <w:pPr>
              <w:jc w:val="center"/>
              <w:rPr>
                <w:rFonts w:eastAsia="Times New Roman" w:cs="Calibri"/>
                <w:color w:val="000000"/>
                <w:sz w:val="22"/>
                <w:szCs w:val="22"/>
              </w:rPr>
            </w:pPr>
            <w:r>
              <w:rPr>
                <w:rFonts w:cs="Calibri"/>
                <w:color w:val="000000"/>
                <w:sz w:val="22"/>
                <w:szCs w:val="22"/>
              </w:rPr>
              <w:t>135</w:t>
            </w:r>
          </w:p>
        </w:tc>
        <w:tc>
          <w:tcPr>
            <w:tcW w:w="1409" w:type="dxa"/>
            <w:noWrap/>
            <w:vAlign w:val="bottom"/>
            <w:hideMark/>
          </w:tcPr>
          <w:p w14:paraId="6B01BB64" w14:textId="62926097" w:rsidR="0056095B" w:rsidRPr="0041256E" w:rsidRDefault="0056095B" w:rsidP="0056095B">
            <w:pPr>
              <w:jc w:val="center"/>
              <w:rPr>
                <w:rFonts w:eastAsia="Times New Roman" w:cs="Calibri"/>
                <w:color w:val="000000"/>
                <w:sz w:val="22"/>
                <w:szCs w:val="22"/>
              </w:rPr>
            </w:pPr>
            <w:r>
              <w:rPr>
                <w:rFonts w:cs="Calibri"/>
                <w:color w:val="000000"/>
                <w:sz w:val="22"/>
                <w:szCs w:val="22"/>
              </w:rPr>
              <w:t>7.1%</w:t>
            </w:r>
          </w:p>
        </w:tc>
        <w:tc>
          <w:tcPr>
            <w:tcW w:w="1440" w:type="dxa"/>
            <w:noWrap/>
            <w:vAlign w:val="bottom"/>
            <w:hideMark/>
          </w:tcPr>
          <w:p w14:paraId="3C7EDF3E" w14:textId="518C897B" w:rsidR="0056095B" w:rsidRPr="0041256E" w:rsidRDefault="0056095B" w:rsidP="0056095B">
            <w:pPr>
              <w:jc w:val="center"/>
              <w:rPr>
                <w:rFonts w:eastAsia="Times New Roman" w:cs="Calibri"/>
                <w:color w:val="000000"/>
                <w:sz w:val="22"/>
                <w:szCs w:val="22"/>
              </w:rPr>
            </w:pPr>
            <w:r>
              <w:rPr>
                <w:rFonts w:cs="Calibri"/>
                <w:color w:val="000000"/>
                <w:sz w:val="22"/>
                <w:szCs w:val="22"/>
              </w:rPr>
              <w:t>$205,500</w:t>
            </w:r>
          </w:p>
        </w:tc>
        <w:tc>
          <w:tcPr>
            <w:tcW w:w="1289" w:type="dxa"/>
            <w:noWrap/>
            <w:vAlign w:val="bottom"/>
            <w:hideMark/>
          </w:tcPr>
          <w:p w14:paraId="6A47275C" w14:textId="1B5CABD3" w:rsidR="0056095B" w:rsidRPr="0041256E" w:rsidRDefault="0056095B" w:rsidP="0056095B">
            <w:pPr>
              <w:jc w:val="center"/>
              <w:rPr>
                <w:rFonts w:eastAsia="Times New Roman" w:cs="Calibri"/>
                <w:color w:val="000000"/>
                <w:sz w:val="22"/>
                <w:szCs w:val="22"/>
              </w:rPr>
            </w:pPr>
            <w:r>
              <w:rPr>
                <w:rFonts w:cs="Calibri"/>
                <w:color w:val="000000"/>
                <w:sz w:val="22"/>
                <w:szCs w:val="22"/>
              </w:rPr>
              <w:t>9.2%</w:t>
            </w:r>
          </w:p>
        </w:tc>
        <w:tc>
          <w:tcPr>
            <w:tcW w:w="1752" w:type="dxa"/>
            <w:noWrap/>
            <w:vAlign w:val="bottom"/>
            <w:hideMark/>
          </w:tcPr>
          <w:p w14:paraId="46BDEC75" w14:textId="0DC27DD7" w:rsidR="0056095B" w:rsidRPr="0041256E" w:rsidRDefault="0056095B" w:rsidP="0056095B">
            <w:pPr>
              <w:jc w:val="center"/>
              <w:rPr>
                <w:rFonts w:eastAsia="Times New Roman" w:cs="Calibri"/>
                <w:color w:val="000000"/>
                <w:sz w:val="22"/>
                <w:szCs w:val="22"/>
              </w:rPr>
            </w:pPr>
            <w:r>
              <w:rPr>
                <w:rFonts w:cs="Calibri"/>
                <w:color w:val="000000"/>
                <w:sz w:val="22"/>
                <w:szCs w:val="22"/>
              </w:rPr>
              <w:t>-8.7%</w:t>
            </w:r>
          </w:p>
        </w:tc>
      </w:tr>
      <w:tr w:rsidR="0056095B" w:rsidRPr="0041256E" w14:paraId="3DFAC516" w14:textId="77777777" w:rsidTr="00AB365D">
        <w:tblPrEx>
          <w:jc w:val="left"/>
        </w:tblPrEx>
        <w:trPr>
          <w:trHeight w:val="315"/>
        </w:trPr>
        <w:tc>
          <w:tcPr>
            <w:tcW w:w="1808" w:type="dxa"/>
            <w:noWrap/>
            <w:vAlign w:val="bottom"/>
            <w:hideMark/>
          </w:tcPr>
          <w:p w14:paraId="4DF8A86B" w14:textId="57B77D1E" w:rsidR="0056095B" w:rsidRPr="0041256E" w:rsidRDefault="0056095B" w:rsidP="0056095B">
            <w:pPr>
              <w:jc w:val="center"/>
              <w:rPr>
                <w:rFonts w:eastAsia="Times New Roman" w:cs="Calibri"/>
                <w:color w:val="000000"/>
                <w:szCs w:val="24"/>
              </w:rPr>
            </w:pPr>
            <w:r>
              <w:rPr>
                <w:rFonts w:cs="Calibri"/>
                <w:color w:val="000000"/>
                <w:sz w:val="22"/>
                <w:szCs w:val="22"/>
              </w:rPr>
              <w:lastRenderedPageBreak/>
              <w:t>Aroostook</w:t>
            </w:r>
          </w:p>
        </w:tc>
        <w:tc>
          <w:tcPr>
            <w:tcW w:w="1548" w:type="dxa"/>
            <w:noWrap/>
            <w:vAlign w:val="bottom"/>
            <w:hideMark/>
          </w:tcPr>
          <w:p w14:paraId="5761DC9F" w14:textId="35C76CB8" w:rsidR="0056095B" w:rsidRPr="0041256E" w:rsidRDefault="0056095B" w:rsidP="0056095B">
            <w:pPr>
              <w:jc w:val="center"/>
              <w:rPr>
                <w:rFonts w:eastAsia="Times New Roman" w:cs="Calibri"/>
                <w:color w:val="000000"/>
                <w:sz w:val="22"/>
                <w:szCs w:val="22"/>
              </w:rPr>
            </w:pPr>
            <w:r>
              <w:rPr>
                <w:rFonts w:cs="Calibri"/>
                <w:color w:val="000000"/>
                <w:sz w:val="22"/>
                <w:szCs w:val="22"/>
              </w:rPr>
              <w:t>78</w:t>
            </w:r>
          </w:p>
        </w:tc>
        <w:tc>
          <w:tcPr>
            <w:tcW w:w="1409" w:type="dxa"/>
            <w:noWrap/>
            <w:vAlign w:val="bottom"/>
            <w:hideMark/>
          </w:tcPr>
          <w:p w14:paraId="6059B21A" w14:textId="381E82A8" w:rsidR="0056095B" w:rsidRPr="0041256E" w:rsidRDefault="0056095B" w:rsidP="0056095B">
            <w:pPr>
              <w:jc w:val="center"/>
              <w:rPr>
                <w:rFonts w:eastAsia="Times New Roman" w:cs="Calibri"/>
                <w:color w:val="000000"/>
                <w:sz w:val="22"/>
                <w:szCs w:val="22"/>
              </w:rPr>
            </w:pPr>
            <w:r>
              <w:rPr>
                <w:rFonts w:cs="Calibri"/>
                <w:color w:val="000000"/>
                <w:sz w:val="22"/>
                <w:szCs w:val="22"/>
              </w:rPr>
              <w:t>8.3%</w:t>
            </w:r>
          </w:p>
        </w:tc>
        <w:tc>
          <w:tcPr>
            <w:tcW w:w="1440" w:type="dxa"/>
            <w:noWrap/>
            <w:vAlign w:val="bottom"/>
            <w:hideMark/>
          </w:tcPr>
          <w:p w14:paraId="6C127053" w14:textId="32576B19" w:rsidR="0056095B" w:rsidRPr="0041256E" w:rsidRDefault="0056095B" w:rsidP="0056095B">
            <w:pPr>
              <w:jc w:val="center"/>
              <w:rPr>
                <w:rFonts w:eastAsia="Times New Roman" w:cs="Calibri"/>
                <w:color w:val="000000"/>
                <w:sz w:val="22"/>
                <w:szCs w:val="22"/>
              </w:rPr>
            </w:pPr>
            <w:r>
              <w:rPr>
                <w:rFonts w:cs="Calibri"/>
                <w:color w:val="000000"/>
                <w:sz w:val="22"/>
                <w:szCs w:val="22"/>
              </w:rPr>
              <w:t>$114,700</w:t>
            </w:r>
          </w:p>
        </w:tc>
        <w:tc>
          <w:tcPr>
            <w:tcW w:w="1289" w:type="dxa"/>
            <w:noWrap/>
            <w:vAlign w:val="bottom"/>
            <w:hideMark/>
          </w:tcPr>
          <w:p w14:paraId="1A6C1B0A" w14:textId="48D75388" w:rsidR="0056095B" w:rsidRPr="0041256E" w:rsidRDefault="0056095B" w:rsidP="0056095B">
            <w:pPr>
              <w:jc w:val="center"/>
              <w:rPr>
                <w:rFonts w:eastAsia="Times New Roman" w:cs="Calibri"/>
                <w:color w:val="000000"/>
                <w:sz w:val="22"/>
                <w:szCs w:val="22"/>
              </w:rPr>
            </w:pPr>
            <w:r>
              <w:rPr>
                <w:rFonts w:cs="Calibri"/>
                <w:color w:val="000000"/>
                <w:sz w:val="22"/>
                <w:szCs w:val="22"/>
              </w:rPr>
              <w:t>20.7%</w:t>
            </w:r>
          </w:p>
        </w:tc>
        <w:tc>
          <w:tcPr>
            <w:tcW w:w="1752" w:type="dxa"/>
            <w:noWrap/>
            <w:vAlign w:val="bottom"/>
            <w:hideMark/>
          </w:tcPr>
          <w:p w14:paraId="4055FDEA" w14:textId="7C1C52BA" w:rsidR="0056095B" w:rsidRPr="0041256E" w:rsidRDefault="0056095B" w:rsidP="0056095B">
            <w:pPr>
              <w:jc w:val="center"/>
              <w:rPr>
                <w:rFonts w:eastAsia="Times New Roman" w:cs="Calibri"/>
                <w:color w:val="000000"/>
                <w:sz w:val="22"/>
                <w:szCs w:val="22"/>
              </w:rPr>
            </w:pPr>
            <w:r>
              <w:rPr>
                <w:rFonts w:cs="Calibri"/>
                <w:color w:val="000000"/>
                <w:sz w:val="22"/>
                <w:szCs w:val="22"/>
              </w:rPr>
              <w:t>13.6%</w:t>
            </w:r>
          </w:p>
        </w:tc>
      </w:tr>
      <w:tr w:rsidR="0056095B" w:rsidRPr="0041256E" w14:paraId="4153735B" w14:textId="77777777" w:rsidTr="00AB365D">
        <w:tblPrEx>
          <w:jc w:val="left"/>
        </w:tblPrEx>
        <w:trPr>
          <w:trHeight w:val="315"/>
        </w:trPr>
        <w:tc>
          <w:tcPr>
            <w:tcW w:w="1808" w:type="dxa"/>
            <w:noWrap/>
            <w:vAlign w:val="bottom"/>
            <w:hideMark/>
          </w:tcPr>
          <w:p w14:paraId="5867B6FB" w14:textId="2C5840A1" w:rsidR="0056095B" w:rsidRPr="0041256E" w:rsidRDefault="0056095B" w:rsidP="0056095B">
            <w:pPr>
              <w:jc w:val="center"/>
              <w:rPr>
                <w:rFonts w:eastAsia="Times New Roman" w:cs="Calibri"/>
                <w:color w:val="000000"/>
                <w:szCs w:val="24"/>
              </w:rPr>
            </w:pPr>
            <w:r>
              <w:rPr>
                <w:rFonts w:cs="Calibri"/>
                <w:color w:val="000000"/>
                <w:sz w:val="22"/>
                <w:szCs w:val="22"/>
              </w:rPr>
              <w:t>Cumberland</w:t>
            </w:r>
          </w:p>
        </w:tc>
        <w:tc>
          <w:tcPr>
            <w:tcW w:w="1548" w:type="dxa"/>
            <w:noWrap/>
            <w:vAlign w:val="bottom"/>
            <w:hideMark/>
          </w:tcPr>
          <w:p w14:paraId="1DE39ACB" w14:textId="028703BB" w:rsidR="0056095B" w:rsidRPr="0041256E" w:rsidRDefault="0056095B" w:rsidP="0056095B">
            <w:pPr>
              <w:jc w:val="center"/>
              <w:rPr>
                <w:rFonts w:eastAsia="Times New Roman" w:cs="Calibri"/>
                <w:color w:val="000000"/>
                <w:sz w:val="22"/>
                <w:szCs w:val="22"/>
              </w:rPr>
            </w:pPr>
            <w:r>
              <w:rPr>
                <w:rFonts w:cs="Calibri"/>
                <w:color w:val="000000"/>
                <w:sz w:val="22"/>
                <w:szCs w:val="22"/>
              </w:rPr>
              <w:t>471</w:t>
            </w:r>
          </w:p>
        </w:tc>
        <w:tc>
          <w:tcPr>
            <w:tcW w:w="1409" w:type="dxa"/>
            <w:noWrap/>
            <w:vAlign w:val="bottom"/>
            <w:hideMark/>
          </w:tcPr>
          <w:p w14:paraId="3FB62EE5" w14:textId="428D741C" w:rsidR="0056095B" w:rsidRPr="0041256E" w:rsidRDefault="0056095B" w:rsidP="0056095B">
            <w:pPr>
              <w:jc w:val="center"/>
              <w:rPr>
                <w:rFonts w:eastAsia="Times New Roman" w:cs="Calibri"/>
                <w:color w:val="000000"/>
                <w:sz w:val="22"/>
                <w:szCs w:val="22"/>
              </w:rPr>
            </w:pPr>
            <w:r>
              <w:rPr>
                <w:rFonts w:cs="Calibri"/>
                <w:color w:val="000000"/>
                <w:sz w:val="22"/>
                <w:szCs w:val="22"/>
              </w:rPr>
              <w:t>19.2%</w:t>
            </w:r>
          </w:p>
        </w:tc>
        <w:tc>
          <w:tcPr>
            <w:tcW w:w="1440" w:type="dxa"/>
            <w:noWrap/>
            <w:vAlign w:val="bottom"/>
            <w:hideMark/>
          </w:tcPr>
          <w:p w14:paraId="4B31D62A" w14:textId="332DDB1A" w:rsidR="0056095B" w:rsidRPr="0041256E" w:rsidRDefault="0056095B" w:rsidP="0056095B">
            <w:pPr>
              <w:jc w:val="center"/>
              <w:rPr>
                <w:rFonts w:eastAsia="Times New Roman" w:cs="Calibri"/>
                <w:color w:val="000000"/>
                <w:sz w:val="22"/>
                <w:szCs w:val="22"/>
              </w:rPr>
            </w:pPr>
            <w:r>
              <w:rPr>
                <w:rFonts w:cs="Calibri"/>
                <w:color w:val="000000"/>
                <w:sz w:val="22"/>
                <w:szCs w:val="22"/>
              </w:rPr>
              <w:t>$365,000</w:t>
            </w:r>
          </w:p>
        </w:tc>
        <w:tc>
          <w:tcPr>
            <w:tcW w:w="1289" w:type="dxa"/>
            <w:noWrap/>
            <w:vAlign w:val="bottom"/>
            <w:hideMark/>
          </w:tcPr>
          <w:p w14:paraId="51F1F454" w14:textId="56EA29B9" w:rsidR="0056095B" w:rsidRPr="0041256E" w:rsidRDefault="0056095B" w:rsidP="0056095B">
            <w:pPr>
              <w:jc w:val="center"/>
              <w:rPr>
                <w:rFonts w:eastAsia="Times New Roman" w:cs="Calibri"/>
                <w:color w:val="000000"/>
                <w:sz w:val="22"/>
                <w:szCs w:val="22"/>
              </w:rPr>
            </w:pPr>
            <w:r>
              <w:rPr>
                <w:rFonts w:cs="Calibri"/>
                <w:color w:val="000000"/>
                <w:sz w:val="22"/>
                <w:szCs w:val="22"/>
              </w:rPr>
              <w:t>12.3%</w:t>
            </w:r>
          </w:p>
        </w:tc>
        <w:tc>
          <w:tcPr>
            <w:tcW w:w="1752" w:type="dxa"/>
            <w:noWrap/>
            <w:vAlign w:val="bottom"/>
            <w:hideMark/>
          </w:tcPr>
          <w:p w14:paraId="4A372A02" w14:textId="347DD8D5" w:rsidR="0056095B" w:rsidRPr="0041256E" w:rsidRDefault="0056095B" w:rsidP="0056095B">
            <w:pPr>
              <w:jc w:val="center"/>
              <w:rPr>
                <w:rFonts w:eastAsia="Times New Roman" w:cs="Calibri"/>
                <w:color w:val="000000"/>
                <w:sz w:val="22"/>
                <w:szCs w:val="22"/>
              </w:rPr>
            </w:pPr>
            <w:r>
              <w:rPr>
                <w:rFonts w:cs="Calibri"/>
                <w:color w:val="000000"/>
                <w:sz w:val="22"/>
                <w:szCs w:val="22"/>
              </w:rPr>
              <w:t>-7.6%</w:t>
            </w:r>
          </w:p>
        </w:tc>
      </w:tr>
      <w:tr w:rsidR="0056095B" w:rsidRPr="0041256E" w14:paraId="2D5DC53B" w14:textId="77777777" w:rsidTr="00AB365D">
        <w:tblPrEx>
          <w:jc w:val="left"/>
        </w:tblPrEx>
        <w:trPr>
          <w:trHeight w:val="315"/>
        </w:trPr>
        <w:tc>
          <w:tcPr>
            <w:tcW w:w="1808" w:type="dxa"/>
            <w:noWrap/>
            <w:vAlign w:val="bottom"/>
            <w:hideMark/>
          </w:tcPr>
          <w:p w14:paraId="397D41BA" w14:textId="5569AA16" w:rsidR="0056095B" w:rsidRPr="0041256E" w:rsidRDefault="0056095B" w:rsidP="0056095B">
            <w:pPr>
              <w:jc w:val="center"/>
              <w:rPr>
                <w:rFonts w:eastAsia="Times New Roman" w:cs="Calibri"/>
                <w:color w:val="000000"/>
                <w:szCs w:val="24"/>
              </w:rPr>
            </w:pPr>
            <w:r>
              <w:rPr>
                <w:rFonts w:cs="Calibri"/>
                <w:color w:val="000000"/>
                <w:sz w:val="22"/>
                <w:szCs w:val="22"/>
              </w:rPr>
              <w:t>Franklin</w:t>
            </w:r>
          </w:p>
        </w:tc>
        <w:tc>
          <w:tcPr>
            <w:tcW w:w="1548" w:type="dxa"/>
            <w:noWrap/>
            <w:vAlign w:val="bottom"/>
            <w:hideMark/>
          </w:tcPr>
          <w:p w14:paraId="154F43FB" w14:textId="6B25D75A" w:rsidR="0056095B" w:rsidRPr="0041256E" w:rsidRDefault="0056095B" w:rsidP="0056095B">
            <w:pPr>
              <w:jc w:val="center"/>
              <w:rPr>
                <w:rFonts w:eastAsia="Times New Roman" w:cs="Calibri"/>
                <w:color w:val="000000"/>
                <w:sz w:val="22"/>
                <w:szCs w:val="22"/>
              </w:rPr>
            </w:pPr>
            <w:r>
              <w:rPr>
                <w:rFonts w:cs="Calibri"/>
                <w:color w:val="000000"/>
                <w:sz w:val="22"/>
                <w:szCs w:val="22"/>
              </w:rPr>
              <w:t>71</w:t>
            </w:r>
          </w:p>
        </w:tc>
        <w:tc>
          <w:tcPr>
            <w:tcW w:w="1409" w:type="dxa"/>
            <w:noWrap/>
            <w:vAlign w:val="bottom"/>
            <w:hideMark/>
          </w:tcPr>
          <w:p w14:paraId="1CEFABA2" w14:textId="46BBC2B5" w:rsidR="0056095B" w:rsidRPr="0041256E" w:rsidRDefault="0056095B" w:rsidP="0056095B">
            <w:pPr>
              <w:jc w:val="center"/>
              <w:rPr>
                <w:rFonts w:eastAsia="Times New Roman" w:cs="Calibri"/>
                <w:color w:val="000000"/>
                <w:sz w:val="22"/>
                <w:szCs w:val="22"/>
              </w:rPr>
            </w:pPr>
            <w:r>
              <w:rPr>
                <w:rFonts w:cs="Calibri"/>
                <w:color w:val="000000"/>
                <w:sz w:val="22"/>
                <w:szCs w:val="22"/>
              </w:rPr>
              <w:t>61.4%</w:t>
            </w:r>
          </w:p>
        </w:tc>
        <w:tc>
          <w:tcPr>
            <w:tcW w:w="1440" w:type="dxa"/>
            <w:noWrap/>
            <w:vAlign w:val="bottom"/>
            <w:hideMark/>
          </w:tcPr>
          <w:p w14:paraId="31982937" w14:textId="4DCE70AF" w:rsidR="0056095B" w:rsidRPr="0041256E" w:rsidRDefault="0056095B" w:rsidP="0056095B">
            <w:pPr>
              <w:jc w:val="center"/>
              <w:rPr>
                <w:rFonts w:eastAsia="Times New Roman" w:cs="Calibri"/>
                <w:color w:val="000000"/>
                <w:sz w:val="22"/>
                <w:szCs w:val="22"/>
              </w:rPr>
            </w:pPr>
            <w:r>
              <w:rPr>
                <w:rFonts w:cs="Calibri"/>
                <w:color w:val="000000"/>
                <w:sz w:val="22"/>
                <w:szCs w:val="22"/>
              </w:rPr>
              <w:t>$170,000</w:t>
            </w:r>
          </w:p>
        </w:tc>
        <w:tc>
          <w:tcPr>
            <w:tcW w:w="1289" w:type="dxa"/>
            <w:noWrap/>
            <w:vAlign w:val="bottom"/>
            <w:hideMark/>
          </w:tcPr>
          <w:p w14:paraId="3571E1C5" w14:textId="585343BC" w:rsidR="0056095B" w:rsidRPr="0041256E" w:rsidRDefault="0056095B" w:rsidP="0056095B">
            <w:pPr>
              <w:jc w:val="center"/>
              <w:rPr>
                <w:rFonts w:eastAsia="Times New Roman" w:cs="Calibri"/>
                <w:color w:val="000000"/>
                <w:sz w:val="22"/>
                <w:szCs w:val="22"/>
              </w:rPr>
            </w:pPr>
            <w:r>
              <w:rPr>
                <w:rFonts w:cs="Calibri"/>
                <w:color w:val="000000"/>
                <w:sz w:val="22"/>
                <w:szCs w:val="22"/>
              </w:rPr>
              <w:t>18.3%</w:t>
            </w:r>
          </w:p>
        </w:tc>
        <w:tc>
          <w:tcPr>
            <w:tcW w:w="1752" w:type="dxa"/>
            <w:noWrap/>
            <w:vAlign w:val="bottom"/>
            <w:hideMark/>
          </w:tcPr>
          <w:p w14:paraId="6CEF24A5" w14:textId="5FFE6A83" w:rsidR="0056095B" w:rsidRPr="0041256E" w:rsidRDefault="0056095B" w:rsidP="0056095B">
            <w:pPr>
              <w:jc w:val="center"/>
              <w:rPr>
                <w:rFonts w:eastAsia="Times New Roman" w:cs="Calibri"/>
                <w:color w:val="000000"/>
                <w:sz w:val="22"/>
                <w:szCs w:val="22"/>
              </w:rPr>
            </w:pPr>
            <w:r>
              <w:rPr>
                <w:rFonts w:cs="Calibri"/>
                <w:color w:val="000000"/>
                <w:sz w:val="22"/>
                <w:szCs w:val="22"/>
              </w:rPr>
              <w:t>-10.5%</w:t>
            </w:r>
          </w:p>
        </w:tc>
      </w:tr>
      <w:tr w:rsidR="0056095B" w:rsidRPr="0041256E" w14:paraId="1FAAAF06" w14:textId="77777777" w:rsidTr="00AB365D">
        <w:tblPrEx>
          <w:jc w:val="left"/>
        </w:tblPrEx>
        <w:trPr>
          <w:trHeight w:val="315"/>
        </w:trPr>
        <w:tc>
          <w:tcPr>
            <w:tcW w:w="1808" w:type="dxa"/>
            <w:noWrap/>
            <w:vAlign w:val="bottom"/>
            <w:hideMark/>
          </w:tcPr>
          <w:p w14:paraId="01642282" w14:textId="3F30909D" w:rsidR="0056095B" w:rsidRPr="0041256E" w:rsidRDefault="0056095B" w:rsidP="0056095B">
            <w:pPr>
              <w:jc w:val="center"/>
              <w:rPr>
                <w:rFonts w:eastAsia="Times New Roman" w:cs="Calibri"/>
                <w:color w:val="000000"/>
                <w:szCs w:val="24"/>
              </w:rPr>
            </w:pPr>
            <w:r>
              <w:rPr>
                <w:rFonts w:cs="Calibri"/>
                <w:color w:val="000000"/>
                <w:sz w:val="22"/>
                <w:szCs w:val="22"/>
              </w:rPr>
              <w:t>Hancock</w:t>
            </w:r>
          </w:p>
        </w:tc>
        <w:tc>
          <w:tcPr>
            <w:tcW w:w="1548" w:type="dxa"/>
            <w:noWrap/>
            <w:vAlign w:val="bottom"/>
            <w:hideMark/>
          </w:tcPr>
          <w:p w14:paraId="798C7FEF" w14:textId="5726783C" w:rsidR="0056095B" w:rsidRPr="0041256E" w:rsidRDefault="0056095B" w:rsidP="0056095B">
            <w:pPr>
              <w:jc w:val="center"/>
              <w:rPr>
                <w:rFonts w:eastAsia="Times New Roman" w:cs="Calibri"/>
                <w:color w:val="000000"/>
                <w:sz w:val="22"/>
                <w:szCs w:val="22"/>
              </w:rPr>
            </w:pPr>
            <w:r>
              <w:rPr>
                <w:rFonts w:cs="Calibri"/>
                <w:color w:val="000000"/>
                <w:sz w:val="22"/>
                <w:szCs w:val="22"/>
              </w:rPr>
              <w:t>139</w:t>
            </w:r>
          </w:p>
        </w:tc>
        <w:tc>
          <w:tcPr>
            <w:tcW w:w="1409" w:type="dxa"/>
            <w:noWrap/>
            <w:vAlign w:val="bottom"/>
            <w:hideMark/>
          </w:tcPr>
          <w:p w14:paraId="1E14E232" w14:textId="4D23F0A6" w:rsidR="0056095B" w:rsidRPr="0041256E" w:rsidRDefault="0056095B" w:rsidP="0056095B">
            <w:pPr>
              <w:jc w:val="center"/>
              <w:rPr>
                <w:rFonts w:eastAsia="Times New Roman" w:cs="Calibri"/>
                <w:color w:val="000000"/>
                <w:sz w:val="22"/>
                <w:szCs w:val="22"/>
              </w:rPr>
            </w:pPr>
            <w:r>
              <w:rPr>
                <w:rFonts w:cs="Calibri"/>
                <w:color w:val="000000"/>
                <w:sz w:val="22"/>
                <w:szCs w:val="22"/>
              </w:rPr>
              <w:t>51.1%</w:t>
            </w:r>
          </w:p>
        </w:tc>
        <w:tc>
          <w:tcPr>
            <w:tcW w:w="1440" w:type="dxa"/>
            <w:noWrap/>
            <w:vAlign w:val="bottom"/>
            <w:hideMark/>
          </w:tcPr>
          <w:p w14:paraId="22366C9C" w14:textId="39A24C6F" w:rsidR="0056095B" w:rsidRPr="0041256E" w:rsidRDefault="0056095B" w:rsidP="0056095B">
            <w:pPr>
              <w:jc w:val="center"/>
              <w:rPr>
                <w:rFonts w:eastAsia="Times New Roman" w:cs="Calibri"/>
                <w:color w:val="000000"/>
                <w:sz w:val="22"/>
                <w:szCs w:val="22"/>
              </w:rPr>
            </w:pPr>
            <w:r>
              <w:rPr>
                <w:rFonts w:cs="Calibri"/>
                <w:color w:val="000000"/>
                <w:sz w:val="22"/>
                <w:szCs w:val="22"/>
              </w:rPr>
              <w:t>$289,000</w:t>
            </w:r>
          </w:p>
        </w:tc>
        <w:tc>
          <w:tcPr>
            <w:tcW w:w="1289" w:type="dxa"/>
            <w:noWrap/>
            <w:vAlign w:val="bottom"/>
            <w:hideMark/>
          </w:tcPr>
          <w:p w14:paraId="1CF16B59" w14:textId="1C0B5150" w:rsidR="0056095B" w:rsidRPr="0041256E" w:rsidRDefault="0056095B" w:rsidP="0056095B">
            <w:pPr>
              <w:jc w:val="center"/>
              <w:rPr>
                <w:rFonts w:eastAsia="Times New Roman" w:cs="Calibri"/>
                <w:color w:val="000000"/>
                <w:sz w:val="22"/>
                <w:szCs w:val="22"/>
              </w:rPr>
            </w:pPr>
            <w:r>
              <w:rPr>
                <w:rFonts w:cs="Calibri"/>
                <w:color w:val="000000"/>
                <w:sz w:val="22"/>
                <w:szCs w:val="22"/>
              </w:rPr>
              <w:t>37.6%</w:t>
            </w:r>
          </w:p>
        </w:tc>
        <w:tc>
          <w:tcPr>
            <w:tcW w:w="1752" w:type="dxa"/>
            <w:noWrap/>
            <w:vAlign w:val="bottom"/>
            <w:hideMark/>
          </w:tcPr>
          <w:p w14:paraId="74B00487" w14:textId="6BCC4A18" w:rsidR="0056095B" w:rsidRPr="0041256E" w:rsidRDefault="0056095B" w:rsidP="0056095B">
            <w:pPr>
              <w:jc w:val="center"/>
              <w:rPr>
                <w:rFonts w:eastAsia="Times New Roman" w:cs="Calibri"/>
                <w:color w:val="000000"/>
                <w:sz w:val="22"/>
                <w:szCs w:val="22"/>
              </w:rPr>
            </w:pPr>
            <w:r>
              <w:rPr>
                <w:rFonts w:cs="Calibri"/>
                <w:color w:val="000000"/>
                <w:sz w:val="22"/>
                <w:szCs w:val="22"/>
              </w:rPr>
              <w:t>15.6%</w:t>
            </w:r>
          </w:p>
        </w:tc>
      </w:tr>
      <w:tr w:rsidR="0056095B" w:rsidRPr="0041256E" w14:paraId="0197BD8D" w14:textId="77777777" w:rsidTr="00AB365D">
        <w:tblPrEx>
          <w:jc w:val="left"/>
        </w:tblPrEx>
        <w:trPr>
          <w:trHeight w:val="315"/>
        </w:trPr>
        <w:tc>
          <w:tcPr>
            <w:tcW w:w="1808" w:type="dxa"/>
            <w:noWrap/>
            <w:vAlign w:val="bottom"/>
            <w:hideMark/>
          </w:tcPr>
          <w:p w14:paraId="720935F2" w14:textId="4F45E40A" w:rsidR="0056095B" w:rsidRPr="0041256E" w:rsidRDefault="0056095B" w:rsidP="0056095B">
            <w:pPr>
              <w:jc w:val="center"/>
              <w:rPr>
                <w:rFonts w:eastAsia="Times New Roman" w:cs="Calibri"/>
                <w:color w:val="000000"/>
                <w:szCs w:val="24"/>
              </w:rPr>
            </w:pPr>
            <w:r>
              <w:rPr>
                <w:rFonts w:cs="Calibri"/>
                <w:color w:val="000000"/>
                <w:sz w:val="22"/>
                <w:szCs w:val="22"/>
              </w:rPr>
              <w:t>Kennebec</w:t>
            </w:r>
          </w:p>
        </w:tc>
        <w:tc>
          <w:tcPr>
            <w:tcW w:w="1548" w:type="dxa"/>
            <w:noWrap/>
            <w:vAlign w:val="bottom"/>
            <w:hideMark/>
          </w:tcPr>
          <w:p w14:paraId="66676AAA" w14:textId="0E401591" w:rsidR="0056095B" w:rsidRPr="0041256E" w:rsidRDefault="0056095B" w:rsidP="0056095B">
            <w:pPr>
              <w:jc w:val="center"/>
              <w:rPr>
                <w:rFonts w:eastAsia="Times New Roman" w:cs="Calibri"/>
                <w:color w:val="000000"/>
                <w:sz w:val="22"/>
                <w:szCs w:val="22"/>
              </w:rPr>
            </w:pPr>
            <w:r>
              <w:rPr>
                <w:rFonts w:cs="Calibri"/>
                <w:color w:val="000000"/>
                <w:sz w:val="22"/>
                <w:szCs w:val="22"/>
              </w:rPr>
              <w:t>217</w:t>
            </w:r>
          </w:p>
        </w:tc>
        <w:tc>
          <w:tcPr>
            <w:tcW w:w="1409" w:type="dxa"/>
            <w:noWrap/>
            <w:vAlign w:val="bottom"/>
            <w:hideMark/>
          </w:tcPr>
          <w:p w14:paraId="2873EF60" w14:textId="3ADB7297" w:rsidR="0056095B" w:rsidRPr="0041256E" w:rsidRDefault="0056095B" w:rsidP="0056095B">
            <w:pPr>
              <w:jc w:val="center"/>
              <w:rPr>
                <w:rFonts w:eastAsia="Times New Roman" w:cs="Calibri"/>
                <w:color w:val="000000"/>
                <w:sz w:val="22"/>
                <w:szCs w:val="22"/>
              </w:rPr>
            </w:pPr>
            <w:r>
              <w:rPr>
                <w:rFonts w:cs="Calibri"/>
                <w:color w:val="000000"/>
                <w:sz w:val="22"/>
                <w:szCs w:val="22"/>
              </w:rPr>
              <w:t>4.3%</w:t>
            </w:r>
          </w:p>
        </w:tc>
        <w:tc>
          <w:tcPr>
            <w:tcW w:w="1440" w:type="dxa"/>
            <w:noWrap/>
            <w:vAlign w:val="bottom"/>
            <w:hideMark/>
          </w:tcPr>
          <w:p w14:paraId="02B2F3C5" w14:textId="00EB45DE" w:rsidR="0056095B" w:rsidRPr="0041256E" w:rsidRDefault="0056095B" w:rsidP="0056095B">
            <w:pPr>
              <w:jc w:val="center"/>
              <w:rPr>
                <w:rFonts w:eastAsia="Times New Roman" w:cs="Calibri"/>
                <w:color w:val="000000"/>
                <w:sz w:val="22"/>
                <w:szCs w:val="22"/>
              </w:rPr>
            </w:pPr>
            <w:r>
              <w:rPr>
                <w:rFonts w:cs="Calibri"/>
                <w:color w:val="000000"/>
                <w:sz w:val="22"/>
                <w:szCs w:val="22"/>
              </w:rPr>
              <w:t>$209,300</w:t>
            </w:r>
          </w:p>
        </w:tc>
        <w:tc>
          <w:tcPr>
            <w:tcW w:w="1289" w:type="dxa"/>
            <w:noWrap/>
            <w:vAlign w:val="bottom"/>
            <w:hideMark/>
          </w:tcPr>
          <w:p w14:paraId="263E8165" w14:textId="34727476" w:rsidR="0056095B" w:rsidRPr="0041256E" w:rsidRDefault="0056095B" w:rsidP="0056095B">
            <w:pPr>
              <w:jc w:val="center"/>
              <w:rPr>
                <w:rFonts w:eastAsia="Times New Roman" w:cs="Calibri"/>
                <w:color w:val="000000"/>
                <w:sz w:val="22"/>
                <w:szCs w:val="22"/>
              </w:rPr>
            </w:pPr>
            <w:r>
              <w:rPr>
                <w:rFonts w:cs="Calibri"/>
                <w:color w:val="000000"/>
                <w:sz w:val="22"/>
                <w:szCs w:val="22"/>
              </w:rPr>
              <w:t>21.7%</w:t>
            </w:r>
          </w:p>
        </w:tc>
        <w:tc>
          <w:tcPr>
            <w:tcW w:w="1752" w:type="dxa"/>
            <w:noWrap/>
            <w:vAlign w:val="bottom"/>
            <w:hideMark/>
          </w:tcPr>
          <w:p w14:paraId="46F6B558" w14:textId="35BFBB23" w:rsidR="0056095B" w:rsidRPr="0041256E" w:rsidRDefault="0056095B" w:rsidP="0056095B">
            <w:pPr>
              <w:jc w:val="center"/>
              <w:rPr>
                <w:rFonts w:eastAsia="Times New Roman" w:cs="Calibri"/>
                <w:color w:val="000000"/>
                <w:sz w:val="22"/>
                <w:szCs w:val="22"/>
              </w:rPr>
            </w:pPr>
            <w:r>
              <w:rPr>
                <w:rFonts w:cs="Calibri"/>
                <w:color w:val="000000"/>
                <w:sz w:val="22"/>
                <w:szCs w:val="22"/>
              </w:rPr>
              <w:t>-4.0%</w:t>
            </w:r>
          </w:p>
        </w:tc>
      </w:tr>
      <w:tr w:rsidR="0056095B" w:rsidRPr="0041256E" w14:paraId="36BA6D3D" w14:textId="77777777" w:rsidTr="00AB365D">
        <w:tblPrEx>
          <w:jc w:val="left"/>
        </w:tblPrEx>
        <w:trPr>
          <w:trHeight w:val="315"/>
        </w:trPr>
        <w:tc>
          <w:tcPr>
            <w:tcW w:w="1808" w:type="dxa"/>
            <w:noWrap/>
            <w:vAlign w:val="bottom"/>
            <w:hideMark/>
          </w:tcPr>
          <w:p w14:paraId="354F6FC3" w14:textId="6BA43123" w:rsidR="0056095B" w:rsidRPr="0041256E" w:rsidRDefault="0056095B" w:rsidP="0056095B">
            <w:pPr>
              <w:jc w:val="center"/>
              <w:rPr>
                <w:rFonts w:eastAsia="Times New Roman" w:cs="Calibri"/>
                <w:color w:val="000000"/>
                <w:szCs w:val="24"/>
              </w:rPr>
            </w:pPr>
            <w:r>
              <w:rPr>
                <w:rFonts w:cs="Calibri"/>
                <w:color w:val="000000"/>
                <w:sz w:val="22"/>
                <w:szCs w:val="22"/>
              </w:rPr>
              <w:t>Knox</w:t>
            </w:r>
          </w:p>
        </w:tc>
        <w:tc>
          <w:tcPr>
            <w:tcW w:w="1548" w:type="dxa"/>
            <w:noWrap/>
            <w:vAlign w:val="bottom"/>
            <w:hideMark/>
          </w:tcPr>
          <w:p w14:paraId="437F65C1" w14:textId="40663E10" w:rsidR="0056095B" w:rsidRPr="0041256E" w:rsidRDefault="0056095B" w:rsidP="0056095B">
            <w:pPr>
              <w:jc w:val="center"/>
              <w:rPr>
                <w:rFonts w:eastAsia="Times New Roman" w:cs="Calibri"/>
                <w:color w:val="000000"/>
                <w:sz w:val="22"/>
                <w:szCs w:val="22"/>
              </w:rPr>
            </w:pPr>
            <w:r>
              <w:rPr>
                <w:rFonts w:cs="Calibri"/>
                <w:color w:val="000000"/>
                <w:sz w:val="22"/>
                <w:szCs w:val="22"/>
              </w:rPr>
              <w:t>108</w:t>
            </w:r>
          </w:p>
        </w:tc>
        <w:tc>
          <w:tcPr>
            <w:tcW w:w="1409" w:type="dxa"/>
            <w:noWrap/>
            <w:vAlign w:val="bottom"/>
            <w:hideMark/>
          </w:tcPr>
          <w:p w14:paraId="096F8142" w14:textId="2C21107D" w:rsidR="0056095B" w:rsidRPr="0041256E" w:rsidRDefault="0056095B" w:rsidP="0056095B">
            <w:pPr>
              <w:jc w:val="center"/>
              <w:rPr>
                <w:rFonts w:eastAsia="Times New Roman" w:cs="Calibri"/>
                <w:color w:val="000000"/>
                <w:sz w:val="22"/>
                <w:szCs w:val="22"/>
              </w:rPr>
            </w:pPr>
            <w:r>
              <w:rPr>
                <w:rFonts w:cs="Calibri"/>
                <w:color w:val="000000"/>
                <w:sz w:val="22"/>
                <w:szCs w:val="22"/>
              </w:rPr>
              <w:t>89.5%</w:t>
            </w:r>
          </w:p>
        </w:tc>
        <w:tc>
          <w:tcPr>
            <w:tcW w:w="1440" w:type="dxa"/>
            <w:noWrap/>
            <w:vAlign w:val="bottom"/>
            <w:hideMark/>
          </w:tcPr>
          <w:p w14:paraId="15BE7E92" w14:textId="247E9968" w:rsidR="0056095B" w:rsidRPr="0041256E" w:rsidRDefault="0056095B" w:rsidP="0056095B">
            <w:pPr>
              <w:jc w:val="center"/>
              <w:rPr>
                <w:rFonts w:eastAsia="Times New Roman" w:cs="Calibri"/>
                <w:color w:val="000000"/>
                <w:sz w:val="22"/>
                <w:szCs w:val="22"/>
              </w:rPr>
            </w:pPr>
            <w:r>
              <w:rPr>
                <w:rFonts w:cs="Calibri"/>
                <w:color w:val="000000"/>
                <w:sz w:val="22"/>
                <w:szCs w:val="22"/>
              </w:rPr>
              <w:t>$276,000</w:t>
            </w:r>
          </w:p>
        </w:tc>
        <w:tc>
          <w:tcPr>
            <w:tcW w:w="1289" w:type="dxa"/>
            <w:noWrap/>
            <w:vAlign w:val="bottom"/>
            <w:hideMark/>
          </w:tcPr>
          <w:p w14:paraId="480A665A" w14:textId="6FC476A9" w:rsidR="0056095B" w:rsidRPr="0041256E" w:rsidRDefault="0056095B" w:rsidP="0056095B">
            <w:pPr>
              <w:jc w:val="center"/>
              <w:rPr>
                <w:rFonts w:eastAsia="Times New Roman" w:cs="Calibri"/>
                <w:color w:val="000000"/>
                <w:sz w:val="22"/>
                <w:szCs w:val="22"/>
              </w:rPr>
            </w:pPr>
            <w:r>
              <w:rPr>
                <w:rFonts w:cs="Calibri"/>
                <w:color w:val="000000"/>
                <w:sz w:val="22"/>
                <w:szCs w:val="22"/>
              </w:rPr>
              <w:t>1.1%</w:t>
            </w:r>
          </w:p>
        </w:tc>
        <w:tc>
          <w:tcPr>
            <w:tcW w:w="1752" w:type="dxa"/>
            <w:noWrap/>
            <w:vAlign w:val="bottom"/>
            <w:hideMark/>
          </w:tcPr>
          <w:p w14:paraId="52057731" w14:textId="7A87BCF4" w:rsidR="0056095B" w:rsidRPr="0041256E" w:rsidRDefault="0056095B" w:rsidP="0056095B">
            <w:pPr>
              <w:jc w:val="center"/>
              <w:rPr>
                <w:rFonts w:eastAsia="Times New Roman" w:cs="Calibri"/>
                <w:color w:val="000000"/>
                <w:sz w:val="22"/>
                <w:szCs w:val="22"/>
              </w:rPr>
            </w:pPr>
            <w:r>
              <w:rPr>
                <w:rFonts w:cs="Calibri"/>
                <w:color w:val="000000"/>
                <w:sz w:val="22"/>
                <w:szCs w:val="22"/>
              </w:rPr>
              <w:t>-6.6%</w:t>
            </w:r>
          </w:p>
        </w:tc>
      </w:tr>
      <w:tr w:rsidR="0056095B" w:rsidRPr="0041256E" w14:paraId="4D3F1A3E" w14:textId="77777777" w:rsidTr="00AB365D">
        <w:tblPrEx>
          <w:jc w:val="left"/>
        </w:tblPrEx>
        <w:trPr>
          <w:trHeight w:val="315"/>
        </w:trPr>
        <w:tc>
          <w:tcPr>
            <w:tcW w:w="1808" w:type="dxa"/>
            <w:noWrap/>
            <w:vAlign w:val="bottom"/>
            <w:hideMark/>
          </w:tcPr>
          <w:p w14:paraId="28FDA038" w14:textId="15916EF7" w:rsidR="0056095B" w:rsidRPr="0041256E" w:rsidRDefault="0056095B" w:rsidP="0056095B">
            <w:pPr>
              <w:jc w:val="center"/>
              <w:rPr>
                <w:rFonts w:eastAsia="Times New Roman" w:cs="Calibri"/>
                <w:color w:val="000000"/>
                <w:szCs w:val="24"/>
              </w:rPr>
            </w:pPr>
            <w:r>
              <w:rPr>
                <w:rFonts w:cs="Calibri"/>
                <w:color w:val="000000"/>
                <w:sz w:val="22"/>
                <w:szCs w:val="22"/>
              </w:rPr>
              <w:t>Lincoln</w:t>
            </w:r>
          </w:p>
        </w:tc>
        <w:tc>
          <w:tcPr>
            <w:tcW w:w="1548" w:type="dxa"/>
            <w:noWrap/>
            <w:vAlign w:val="bottom"/>
            <w:hideMark/>
          </w:tcPr>
          <w:p w14:paraId="24F83CC4" w14:textId="7DC38F9E" w:rsidR="0056095B" w:rsidRPr="0041256E" w:rsidRDefault="0056095B" w:rsidP="0056095B">
            <w:pPr>
              <w:jc w:val="center"/>
              <w:rPr>
                <w:rFonts w:eastAsia="Times New Roman" w:cs="Calibri"/>
                <w:color w:val="000000"/>
                <w:sz w:val="22"/>
                <w:szCs w:val="22"/>
              </w:rPr>
            </w:pPr>
            <w:r>
              <w:rPr>
                <w:rFonts w:cs="Calibri"/>
                <w:color w:val="000000"/>
                <w:sz w:val="22"/>
                <w:szCs w:val="22"/>
              </w:rPr>
              <w:t>99</w:t>
            </w:r>
          </w:p>
        </w:tc>
        <w:tc>
          <w:tcPr>
            <w:tcW w:w="1409" w:type="dxa"/>
            <w:noWrap/>
            <w:vAlign w:val="bottom"/>
            <w:hideMark/>
          </w:tcPr>
          <w:p w14:paraId="623FFC6C" w14:textId="3544A1FB" w:rsidR="0056095B" w:rsidRPr="0041256E" w:rsidRDefault="0056095B" w:rsidP="0056095B">
            <w:pPr>
              <w:jc w:val="center"/>
              <w:rPr>
                <w:rFonts w:eastAsia="Times New Roman" w:cs="Calibri"/>
                <w:color w:val="000000"/>
                <w:sz w:val="22"/>
                <w:szCs w:val="22"/>
              </w:rPr>
            </w:pPr>
            <w:r>
              <w:rPr>
                <w:rFonts w:cs="Calibri"/>
                <w:color w:val="000000"/>
                <w:sz w:val="22"/>
                <w:szCs w:val="22"/>
              </w:rPr>
              <w:t>76.8%</w:t>
            </w:r>
          </w:p>
        </w:tc>
        <w:tc>
          <w:tcPr>
            <w:tcW w:w="1440" w:type="dxa"/>
            <w:noWrap/>
            <w:vAlign w:val="bottom"/>
            <w:hideMark/>
          </w:tcPr>
          <w:p w14:paraId="4BC3B78A" w14:textId="12CFE9C4" w:rsidR="0056095B" w:rsidRPr="0041256E" w:rsidRDefault="0056095B" w:rsidP="0056095B">
            <w:pPr>
              <w:jc w:val="center"/>
              <w:rPr>
                <w:rFonts w:eastAsia="Times New Roman" w:cs="Calibri"/>
                <w:color w:val="000000"/>
                <w:sz w:val="22"/>
                <w:szCs w:val="22"/>
              </w:rPr>
            </w:pPr>
            <w:r>
              <w:rPr>
                <w:rFonts w:cs="Calibri"/>
                <w:color w:val="000000"/>
                <w:sz w:val="22"/>
                <w:szCs w:val="22"/>
              </w:rPr>
              <w:t>$360,000</w:t>
            </w:r>
          </w:p>
        </w:tc>
        <w:tc>
          <w:tcPr>
            <w:tcW w:w="1289" w:type="dxa"/>
            <w:noWrap/>
            <w:vAlign w:val="bottom"/>
            <w:hideMark/>
          </w:tcPr>
          <w:p w14:paraId="2E651016" w14:textId="541377BC" w:rsidR="0056095B" w:rsidRPr="0041256E" w:rsidRDefault="0056095B" w:rsidP="0056095B">
            <w:pPr>
              <w:jc w:val="center"/>
              <w:rPr>
                <w:rFonts w:eastAsia="Times New Roman" w:cs="Calibri"/>
                <w:color w:val="000000"/>
                <w:sz w:val="22"/>
                <w:szCs w:val="22"/>
              </w:rPr>
            </w:pPr>
            <w:r>
              <w:rPr>
                <w:rFonts w:cs="Calibri"/>
                <w:color w:val="000000"/>
                <w:sz w:val="22"/>
                <w:szCs w:val="22"/>
              </w:rPr>
              <w:t>50.9%</w:t>
            </w:r>
          </w:p>
        </w:tc>
        <w:tc>
          <w:tcPr>
            <w:tcW w:w="1752" w:type="dxa"/>
            <w:noWrap/>
            <w:vAlign w:val="bottom"/>
            <w:hideMark/>
          </w:tcPr>
          <w:p w14:paraId="7626E57E" w14:textId="3C457EC6" w:rsidR="0056095B" w:rsidRPr="0041256E" w:rsidRDefault="0056095B" w:rsidP="0056095B">
            <w:pPr>
              <w:jc w:val="center"/>
              <w:rPr>
                <w:rFonts w:eastAsia="Times New Roman" w:cs="Calibri"/>
                <w:color w:val="000000"/>
                <w:sz w:val="22"/>
                <w:szCs w:val="22"/>
              </w:rPr>
            </w:pPr>
            <w:r>
              <w:rPr>
                <w:rFonts w:cs="Calibri"/>
                <w:color w:val="000000"/>
                <w:sz w:val="22"/>
                <w:szCs w:val="22"/>
              </w:rPr>
              <w:t>22.3%</w:t>
            </w:r>
          </w:p>
        </w:tc>
      </w:tr>
      <w:tr w:rsidR="0056095B" w:rsidRPr="0041256E" w14:paraId="1EE86775" w14:textId="77777777" w:rsidTr="00AB365D">
        <w:tblPrEx>
          <w:jc w:val="left"/>
        </w:tblPrEx>
        <w:trPr>
          <w:trHeight w:val="315"/>
        </w:trPr>
        <w:tc>
          <w:tcPr>
            <w:tcW w:w="1808" w:type="dxa"/>
            <w:noWrap/>
            <w:vAlign w:val="bottom"/>
            <w:hideMark/>
          </w:tcPr>
          <w:p w14:paraId="08DEA5F4" w14:textId="3BC6BD8F" w:rsidR="0056095B" w:rsidRPr="0041256E" w:rsidRDefault="0056095B" w:rsidP="0056095B">
            <w:pPr>
              <w:jc w:val="center"/>
              <w:rPr>
                <w:rFonts w:eastAsia="Times New Roman" w:cs="Calibri"/>
                <w:color w:val="000000"/>
                <w:szCs w:val="24"/>
              </w:rPr>
            </w:pPr>
            <w:r>
              <w:rPr>
                <w:rFonts w:cs="Calibri"/>
                <w:color w:val="000000"/>
                <w:sz w:val="22"/>
                <w:szCs w:val="22"/>
              </w:rPr>
              <w:t>Oxford</w:t>
            </w:r>
          </w:p>
        </w:tc>
        <w:tc>
          <w:tcPr>
            <w:tcW w:w="1548" w:type="dxa"/>
            <w:noWrap/>
            <w:vAlign w:val="bottom"/>
            <w:hideMark/>
          </w:tcPr>
          <w:p w14:paraId="6091248E" w14:textId="3806D3EB" w:rsidR="0056095B" w:rsidRPr="0041256E" w:rsidRDefault="0056095B" w:rsidP="0056095B">
            <w:pPr>
              <w:jc w:val="center"/>
              <w:rPr>
                <w:rFonts w:eastAsia="Times New Roman" w:cs="Calibri"/>
                <w:color w:val="000000"/>
                <w:sz w:val="22"/>
                <w:szCs w:val="22"/>
              </w:rPr>
            </w:pPr>
            <w:r>
              <w:rPr>
                <w:rFonts w:cs="Calibri"/>
                <w:color w:val="000000"/>
                <w:sz w:val="22"/>
                <w:szCs w:val="22"/>
              </w:rPr>
              <w:t>104</w:t>
            </w:r>
          </w:p>
        </w:tc>
        <w:tc>
          <w:tcPr>
            <w:tcW w:w="1409" w:type="dxa"/>
            <w:noWrap/>
            <w:vAlign w:val="bottom"/>
            <w:hideMark/>
          </w:tcPr>
          <w:p w14:paraId="3B344E27" w14:textId="005C7ED7" w:rsidR="0056095B" w:rsidRPr="0041256E" w:rsidRDefault="0056095B" w:rsidP="0056095B">
            <w:pPr>
              <w:jc w:val="center"/>
              <w:rPr>
                <w:rFonts w:eastAsia="Times New Roman" w:cs="Calibri"/>
                <w:color w:val="000000"/>
                <w:sz w:val="22"/>
                <w:szCs w:val="22"/>
              </w:rPr>
            </w:pPr>
            <w:r>
              <w:rPr>
                <w:rFonts w:cs="Calibri"/>
                <w:color w:val="000000"/>
                <w:sz w:val="22"/>
                <w:szCs w:val="22"/>
              </w:rPr>
              <w:t>4.0%</w:t>
            </w:r>
          </w:p>
        </w:tc>
        <w:tc>
          <w:tcPr>
            <w:tcW w:w="1440" w:type="dxa"/>
            <w:noWrap/>
            <w:vAlign w:val="bottom"/>
            <w:hideMark/>
          </w:tcPr>
          <w:p w14:paraId="60A6FD97" w14:textId="3743A697" w:rsidR="0056095B" w:rsidRPr="0041256E" w:rsidRDefault="0056095B" w:rsidP="0056095B">
            <w:pPr>
              <w:jc w:val="center"/>
              <w:rPr>
                <w:rFonts w:eastAsia="Times New Roman" w:cs="Calibri"/>
                <w:color w:val="000000"/>
                <w:sz w:val="22"/>
                <w:szCs w:val="22"/>
              </w:rPr>
            </w:pPr>
            <w:r>
              <w:rPr>
                <w:rFonts w:cs="Calibri"/>
                <w:color w:val="000000"/>
                <w:sz w:val="22"/>
                <w:szCs w:val="22"/>
              </w:rPr>
              <w:t>$222,500</w:t>
            </w:r>
          </w:p>
        </w:tc>
        <w:tc>
          <w:tcPr>
            <w:tcW w:w="1289" w:type="dxa"/>
            <w:noWrap/>
            <w:vAlign w:val="bottom"/>
            <w:hideMark/>
          </w:tcPr>
          <w:p w14:paraId="015B7861" w14:textId="69ACF386" w:rsidR="0056095B" w:rsidRPr="0041256E" w:rsidRDefault="0056095B" w:rsidP="0056095B">
            <w:pPr>
              <w:jc w:val="center"/>
              <w:rPr>
                <w:rFonts w:eastAsia="Times New Roman" w:cs="Calibri"/>
                <w:color w:val="000000"/>
                <w:sz w:val="22"/>
                <w:szCs w:val="22"/>
              </w:rPr>
            </w:pPr>
            <w:r>
              <w:rPr>
                <w:rFonts w:cs="Calibri"/>
                <w:color w:val="000000"/>
                <w:sz w:val="22"/>
                <w:szCs w:val="22"/>
              </w:rPr>
              <w:t>28.6%</w:t>
            </w:r>
          </w:p>
        </w:tc>
        <w:tc>
          <w:tcPr>
            <w:tcW w:w="1752" w:type="dxa"/>
            <w:noWrap/>
            <w:vAlign w:val="bottom"/>
            <w:hideMark/>
          </w:tcPr>
          <w:p w14:paraId="2D25D1A5" w14:textId="540C4265" w:rsidR="0056095B" w:rsidRPr="0041256E" w:rsidRDefault="0056095B" w:rsidP="0056095B">
            <w:pPr>
              <w:jc w:val="center"/>
              <w:rPr>
                <w:rFonts w:eastAsia="Times New Roman" w:cs="Calibri"/>
                <w:color w:val="000000"/>
                <w:sz w:val="22"/>
                <w:szCs w:val="22"/>
              </w:rPr>
            </w:pPr>
            <w:r>
              <w:rPr>
                <w:rFonts w:cs="Calibri"/>
                <w:color w:val="000000"/>
                <w:sz w:val="22"/>
                <w:szCs w:val="22"/>
              </w:rPr>
              <w:t>10.1%</w:t>
            </w:r>
          </w:p>
        </w:tc>
      </w:tr>
      <w:tr w:rsidR="0056095B" w:rsidRPr="0041256E" w14:paraId="444FC932" w14:textId="77777777" w:rsidTr="00AB365D">
        <w:tblPrEx>
          <w:jc w:val="left"/>
        </w:tblPrEx>
        <w:trPr>
          <w:trHeight w:val="315"/>
        </w:trPr>
        <w:tc>
          <w:tcPr>
            <w:tcW w:w="1808" w:type="dxa"/>
            <w:noWrap/>
            <w:vAlign w:val="bottom"/>
            <w:hideMark/>
          </w:tcPr>
          <w:p w14:paraId="54D5C18A" w14:textId="42DC3DFC" w:rsidR="0056095B" w:rsidRPr="0041256E" w:rsidRDefault="0056095B" w:rsidP="0056095B">
            <w:pPr>
              <w:jc w:val="center"/>
              <w:rPr>
                <w:rFonts w:eastAsia="Times New Roman" w:cs="Calibri"/>
                <w:color w:val="000000"/>
                <w:szCs w:val="24"/>
              </w:rPr>
            </w:pPr>
            <w:r>
              <w:rPr>
                <w:rFonts w:cs="Calibri"/>
                <w:color w:val="000000"/>
                <w:sz w:val="22"/>
                <w:szCs w:val="22"/>
              </w:rPr>
              <w:t>Penobscot</w:t>
            </w:r>
          </w:p>
        </w:tc>
        <w:tc>
          <w:tcPr>
            <w:tcW w:w="1548" w:type="dxa"/>
            <w:noWrap/>
            <w:vAlign w:val="bottom"/>
            <w:hideMark/>
          </w:tcPr>
          <w:p w14:paraId="276EBF03" w14:textId="121FA233" w:rsidR="0056095B" w:rsidRPr="0041256E" w:rsidRDefault="0056095B" w:rsidP="0056095B">
            <w:pPr>
              <w:jc w:val="center"/>
              <w:rPr>
                <w:rFonts w:eastAsia="Times New Roman" w:cs="Calibri"/>
                <w:color w:val="000000"/>
                <w:sz w:val="22"/>
                <w:szCs w:val="22"/>
              </w:rPr>
            </w:pPr>
            <w:r>
              <w:rPr>
                <w:rFonts w:cs="Calibri"/>
                <w:color w:val="000000"/>
                <w:sz w:val="22"/>
                <w:szCs w:val="22"/>
              </w:rPr>
              <w:t>192</w:t>
            </w:r>
          </w:p>
        </w:tc>
        <w:tc>
          <w:tcPr>
            <w:tcW w:w="1409" w:type="dxa"/>
            <w:noWrap/>
            <w:vAlign w:val="bottom"/>
            <w:hideMark/>
          </w:tcPr>
          <w:p w14:paraId="5EA29939" w14:textId="0512ABDB" w:rsidR="0056095B" w:rsidRPr="0041256E" w:rsidRDefault="0056095B" w:rsidP="0056095B">
            <w:pPr>
              <w:jc w:val="center"/>
              <w:rPr>
                <w:rFonts w:eastAsia="Times New Roman" w:cs="Calibri"/>
                <w:color w:val="000000"/>
                <w:sz w:val="22"/>
                <w:szCs w:val="22"/>
              </w:rPr>
            </w:pPr>
            <w:r>
              <w:rPr>
                <w:rFonts w:cs="Calibri"/>
                <w:color w:val="000000"/>
                <w:sz w:val="22"/>
                <w:szCs w:val="22"/>
              </w:rPr>
              <w:t>0.0%</w:t>
            </w:r>
          </w:p>
        </w:tc>
        <w:tc>
          <w:tcPr>
            <w:tcW w:w="1440" w:type="dxa"/>
            <w:noWrap/>
            <w:vAlign w:val="bottom"/>
            <w:hideMark/>
          </w:tcPr>
          <w:p w14:paraId="1EDD1652" w14:textId="142E8B1A" w:rsidR="0056095B" w:rsidRPr="0041256E" w:rsidRDefault="0056095B" w:rsidP="0056095B">
            <w:pPr>
              <w:jc w:val="center"/>
              <w:rPr>
                <w:rFonts w:eastAsia="Times New Roman" w:cs="Calibri"/>
                <w:color w:val="000000"/>
                <w:sz w:val="22"/>
                <w:szCs w:val="22"/>
              </w:rPr>
            </w:pPr>
            <w:r>
              <w:rPr>
                <w:rFonts w:cs="Calibri"/>
                <w:color w:val="000000"/>
                <w:sz w:val="22"/>
                <w:szCs w:val="22"/>
              </w:rPr>
              <w:t>$173,750</w:t>
            </w:r>
          </w:p>
        </w:tc>
        <w:tc>
          <w:tcPr>
            <w:tcW w:w="1289" w:type="dxa"/>
            <w:noWrap/>
            <w:vAlign w:val="bottom"/>
            <w:hideMark/>
          </w:tcPr>
          <w:p w14:paraId="22AE0FDF" w14:textId="517004B7" w:rsidR="0056095B" w:rsidRPr="0041256E" w:rsidRDefault="0056095B" w:rsidP="0056095B">
            <w:pPr>
              <w:jc w:val="center"/>
              <w:rPr>
                <w:rFonts w:eastAsia="Times New Roman" w:cs="Calibri"/>
                <w:color w:val="000000"/>
                <w:sz w:val="22"/>
                <w:szCs w:val="22"/>
              </w:rPr>
            </w:pPr>
            <w:r>
              <w:rPr>
                <w:rFonts w:cs="Calibri"/>
                <w:color w:val="000000"/>
                <w:sz w:val="22"/>
                <w:szCs w:val="22"/>
              </w:rPr>
              <w:t>17.5%</w:t>
            </w:r>
          </w:p>
        </w:tc>
        <w:tc>
          <w:tcPr>
            <w:tcW w:w="1752" w:type="dxa"/>
            <w:noWrap/>
            <w:vAlign w:val="bottom"/>
            <w:hideMark/>
          </w:tcPr>
          <w:p w14:paraId="0AA3ADD0" w14:textId="1486DC22" w:rsidR="0056095B" w:rsidRPr="0041256E" w:rsidRDefault="0056095B" w:rsidP="0056095B">
            <w:pPr>
              <w:jc w:val="center"/>
              <w:rPr>
                <w:rFonts w:eastAsia="Times New Roman" w:cs="Calibri"/>
                <w:color w:val="000000"/>
                <w:sz w:val="22"/>
                <w:szCs w:val="22"/>
              </w:rPr>
            </w:pPr>
            <w:r>
              <w:rPr>
                <w:rFonts w:cs="Calibri"/>
                <w:color w:val="000000"/>
                <w:sz w:val="22"/>
                <w:szCs w:val="22"/>
              </w:rPr>
              <w:t>-1.0%</w:t>
            </w:r>
          </w:p>
        </w:tc>
      </w:tr>
      <w:tr w:rsidR="0056095B" w:rsidRPr="0041256E" w14:paraId="55975BD2" w14:textId="77777777" w:rsidTr="00AB365D">
        <w:tblPrEx>
          <w:jc w:val="left"/>
        </w:tblPrEx>
        <w:trPr>
          <w:trHeight w:val="315"/>
        </w:trPr>
        <w:tc>
          <w:tcPr>
            <w:tcW w:w="1808" w:type="dxa"/>
            <w:noWrap/>
            <w:vAlign w:val="bottom"/>
            <w:hideMark/>
          </w:tcPr>
          <w:p w14:paraId="43E66BB0" w14:textId="7648D9A2" w:rsidR="0056095B" w:rsidRPr="0041256E" w:rsidRDefault="0056095B" w:rsidP="0056095B">
            <w:pPr>
              <w:jc w:val="center"/>
              <w:rPr>
                <w:rFonts w:eastAsia="Times New Roman" w:cs="Calibri"/>
                <w:color w:val="000000"/>
                <w:szCs w:val="24"/>
              </w:rPr>
            </w:pPr>
            <w:r>
              <w:rPr>
                <w:rFonts w:cs="Calibri"/>
                <w:color w:val="000000"/>
                <w:sz w:val="22"/>
                <w:szCs w:val="22"/>
              </w:rPr>
              <w:t>Piscataquis</w:t>
            </w:r>
          </w:p>
        </w:tc>
        <w:tc>
          <w:tcPr>
            <w:tcW w:w="1548" w:type="dxa"/>
            <w:noWrap/>
            <w:vAlign w:val="bottom"/>
            <w:hideMark/>
          </w:tcPr>
          <w:p w14:paraId="79BE27AF" w14:textId="6875B31B" w:rsidR="0056095B" w:rsidRPr="0041256E" w:rsidRDefault="0056095B" w:rsidP="0056095B">
            <w:pPr>
              <w:jc w:val="center"/>
              <w:rPr>
                <w:rFonts w:eastAsia="Times New Roman" w:cs="Calibri"/>
                <w:color w:val="000000"/>
                <w:sz w:val="22"/>
                <w:szCs w:val="22"/>
              </w:rPr>
            </w:pPr>
            <w:r>
              <w:rPr>
                <w:rFonts w:cs="Calibri"/>
                <w:color w:val="000000"/>
                <w:sz w:val="22"/>
                <w:szCs w:val="22"/>
              </w:rPr>
              <w:t>48</w:t>
            </w:r>
          </w:p>
        </w:tc>
        <w:tc>
          <w:tcPr>
            <w:tcW w:w="1409" w:type="dxa"/>
            <w:noWrap/>
            <w:vAlign w:val="bottom"/>
            <w:hideMark/>
          </w:tcPr>
          <w:p w14:paraId="0F05623B" w14:textId="23BCB062" w:rsidR="0056095B" w:rsidRPr="0041256E" w:rsidRDefault="0056095B" w:rsidP="0056095B">
            <w:pPr>
              <w:jc w:val="center"/>
              <w:rPr>
                <w:rFonts w:eastAsia="Times New Roman" w:cs="Calibri"/>
                <w:color w:val="000000"/>
                <w:sz w:val="22"/>
                <w:szCs w:val="22"/>
              </w:rPr>
            </w:pPr>
            <w:r>
              <w:rPr>
                <w:rFonts w:cs="Calibri"/>
                <w:color w:val="000000"/>
                <w:sz w:val="22"/>
                <w:szCs w:val="22"/>
              </w:rPr>
              <w:t>14.3%</w:t>
            </w:r>
          </w:p>
        </w:tc>
        <w:tc>
          <w:tcPr>
            <w:tcW w:w="1440" w:type="dxa"/>
            <w:noWrap/>
            <w:vAlign w:val="bottom"/>
            <w:hideMark/>
          </w:tcPr>
          <w:p w14:paraId="5C963C6F" w14:textId="35F847D4" w:rsidR="0056095B" w:rsidRPr="0041256E" w:rsidRDefault="0056095B" w:rsidP="0056095B">
            <w:pPr>
              <w:jc w:val="center"/>
              <w:rPr>
                <w:rFonts w:eastAsia="Times New Roman" w:cs="Calibri"/>
                <w:color w:val="000000"/>
                <w:sz w:val="22"/>
                <w:szCs w:val="22"/>
              </w:rPr>
            </w:pPr>
            <w:r>
              <w:rPr>
                <w:rFonts w:cs="Calibri"/>
                <w:color w:val="000000"/>
                <w:sz w:val="22"/>
                <w:szCs w:val="22"/>
              </w:rPr>
              <w:t>$143,500</w:t>
            </w:r>
          </w:p>
        </w:tc>
        <w:tc>
          <w:tcPr>
            <w:tcW w:w="1289" w:type="dxa"/>
            <w:noWrap/>
            <w:vAlign w:val="bottom"/>
            <w:hideMark/>
          </w:tcPr>
          <w:p w14:paraId="0A9967B6" w14:textId="3F5A066C" w:rsidR="0056095B" w:rsidRPr="0041256E" w:rsidRDefault="0056095B" w:rsidP="0056095B">
            <w:pPr>
              <w:jc w:val="center"/>
              <w:rPr>
                <w:rFonts w:eastAsia="Times New Roman" w:cs="Calibri"/>
                <w:color w:val="000000"/>
                <w:sz w:val="22"/>
                <w:szCs w:val="22"/>
              </w:rPr>
            </w:pPr>
            <w:r>
              <w:rPr>
                <w:rFonts w:cs="Calibri"/>
                <w:color w:val="000000"/>
                <w:sz w:val="22"/>
                <w:szCs w:val="22"/>
              </w:rPr>
              <w:t>8.3%</w:t>
            </w:r>
          </w:p>
        </w:tc>
        <w:tc>
          <w:tcPr>
            <w:tcW w:w="1752" w:type="dxa"/>
            <w:noWrap/>
            <w:vAlign w:val="bottom"/>
            <w:hideMark/>
          </w:tcPr>
          <w:p w14:paraId="3A2C6E7C" w14:textId="6F17C7B7" w:rsidR="0056095B" w:rsidRPr="0041256E" w:rsidRDefault="0056095B" w:rsidP="0056095B">
            <w:pPr>
              <w:jc w:val="center"/>
              <w:rPr>
                <w:rFonts w:eastAsia="Times New Roman" w:cs="Calibri"/>
                <w:color w:val="000000"/>
                <w:sz w:val="22"/>
                <w:szCs w:val="22"/>
              </w:rPr>
            </w:pPr>
            <w:r>
              <w:rPr>
                <w:rFonts w:cs="Calibri"/>
                <w:color w:val="000000"/>
                <w:sz w:val="22"/>
                <w:szCs w:val="22"/>
              </w:rPr>
              <w:t>-22.4%</w:t>
            </w:r>
          </w:p>
        </w:tc>
      </w:tr>
      <w:tr w:rsidR="0056095B" w:rsidRPr="0041256E" w14:paraId="6994C554" w14:textId="77777777" w:rsidTr="00AB365D">
        <w:tblPrEx>
          <w:jc w:val="left"/>
        </w:tblPrEx>
        <w:trPr>
          <w:trHeight w:val="315"/>
        </w:trPr>
        <w:tc>
          <w:tcPr>
            <w:tcW w:w="1808" w:type="dxa"/>
            <w:noWrap/>
            <w:vAlign w:val="bottom"/>
            <w:hideMark/>
          </w:tcPr>
          <w:p w14:paraId="2AAA59C9" w14:textId="17F85FF3" w:rsidR="0056095B" w:rsidRPr="0041256E" w:rsidRDefault="0056095B" w:rsidP="0056095B">
            <w:pPr>
              <w:jc w:val="center"/>
              <w:rPr>
                <w:rFonts w:eastAsia="Times New Roman" w:cs="Calibri"/>
                <w:color w:val="000000"/>
                <w:szCs w:val="24"/>
              </w:rPr>
            </w:pPr>
            <w:r>
              <w:rPr>
                <w:rFonts w:cs="Calibri"/>
                <w:color w:val="000000"/>
                <w:sz w:val="22"/>
                <w:szCs w:val="22"/>
              </w:rPr>
              <w:t>Sagadahoc</w:t>
            </w:r>
          </w:p>
        </w:tc>
        <w:tc>
          <w:tcPr>
            <w:tcW w:w="1548" w:type="dxa"/>
            <w:noWrap/>
            <w:vAlign w:val="bottom"/>
            <w:hideMark/>
          </w:tcPr>
          <w:p w14:paraId="64434D55" w14:textId="69CEA2DA" w:rsidR="0056095B" w:rsidRPr="0041256E" w:rsidRDefault="0056095B" w:rsidP="0056095B">
            <w:pPr>
              <w:jc w:val="center"/>
              <w:rPr>
                <w:rFonts w:eastAsia="Times New Roman" w:cs="Calibri"/>
                <w:color w:val="000000"/>
                <w:sz w:val="22"/>
                <w:szCs w:val="22"/>
              </w:rPr>
            </w:pPr>
            <w:r>
              <w:rPr>
                <w:rFonts w:cs="Calibri"/>
                <w:color w:val="000000"/>
                <w:sz w:val="22"/>
                <w:szCs w:val="22"/>
              </w:rPr>
              <w:t>57</w:t>
            </w:r>
          </w:p>
        </w:tc>
        <w:tc>
          <w:tcPr>
            <w:tcW w:w="1409" w:type="dxa"/>
            <w:noWrap/>
            <w:vAlign w:val="bottom"/>
            <w:hideMark/>
          </w:tcPr>
          <w:p w14:paraId="04FAA381" w14:textId="05E8D077" w:rsidR="0056095B" w:rsidRPr="0041256E" w:rsidRDefault="0056095B" w:rsidP="0056095B">
            <w:pPr>
              <w:jc w:val="center"/>
              <w:rPr>
                <w:rFonts w:eastAsia="Times New Roman" w:cs="Calibri"/>
                <w:color w:val="000000"/>
                <w:sz w:val="22"/>
                <w:szCs w:val="22"/>
              </w:rPr>
            </w:pPr>
            <w:r>
              <w:rPr>
                <w:rFonts w:cs="Calibri"/>
                <w:color w:val="000000"/>
                <w:sz w:val="22"/>
                <w:szCs w:val="22"/>
              </w:rPr>
              <w:t>26.7%</w:t>
            </w:r>
          </w:p>
        </w:tc>
        <w:tc>
          <w:tcPr>
            <w:tcW w:w="1440" w:type="dxa"/>
            <w:noWrap/>
            <w:vAlign w:val="bottom"/>
            <w:hideMark/>
          </w:tcPr>
          <w:p w14:paraId="1E5F3560" w14:textId="32DBE8A7" w:rsidR="0056095B" w:rsidRPr="0041256E" w:rsidRDefault="0056095B" w:rsidP="0056095B">
            <w:pPr>
              <w:jc w:val="center"/>
              <w:rPr>
                <w:rFonts w:eastAsia="Times New Roman" w:cs="Calibri"/>
                <w:color w:val="000000"/>
                <w:sz w:val="22"/>
                <w:szCs w:val="22"/>
              </w:rPr>
            </w:pPr>
            <w:r>
              <w:rPr>
                <w:rFonts w:cs="Calibri"/>
                <w:color w:val="000000"/>
                <w:sz w:val="22"/>
                <w:szCs w:val="22"/>
              </w:rPr>
              <w:t>$283,500</w:t>
            </w:r>
          </w:p>
        </w:tc>
        <w:tc>
          <w:tcPr>
            <w:tcW w:w="1289" w:type="dxa"/>
            <w:noWrap/>
            <w:vAlign w:val="bottom"/>
            <w:hideMark/>
          </w:tcPr>
          <w:p w14:paraId="458F6F7A" w14:textId="744E0059" w:rsidR="0056095B" w:rsidRPr="0041256E" w:rsidRDefault="0056095B" w:rsidP="0056095B">
            <w:pPr>
              <w:jc w:val="center"/>
              <w:rPr>
                <w:rFonts w:eastAsia="Times New Roman" w:cs="Calibri"/>
                <w:color w:val="000000"/>
                <w:sz w:val="22"/>
                <w:szCs w:val="22"/>
              </w:rPr>
            </w:pPr>
            <w:r>
              <w:rPr>
                <w:rFonts w:cs="Calibri"/>
                <w:color w:val="000000"/>
                <w:sz w:val="22"/>
                <w:szCs w:val="22"/>
              </w:rPr>
              <w:t>9.5%</w:t>
            </w:r>
          </w:p>
        </w:tc>
        <w:tc>
          <w:tcPr>
            <w:tcW w:w="1752" w:type="dxa"/>
            <w:noWrap/>
            <w:vAlign w:val="bottom"/>
            <w:hideMark/>
          </w:tcPr>
          <w:p w14:paraId="2AB47FBA" w14:textId="442D5216" w:rsidR="0056095B" w:rsidRPr="0041256E" w:rsidRDefault="0056095B" w:rsidP="0056095B">
            <w:pPr>
              <w:jc w:val="center"/>
              <w:rPr>
                <w:rFonts w:eastAsia="Times New Roman" w:cs="Calibri"/>
                <w:color w:val="000000"/>
                <w:sz w:val="22"/>
                <w:szCs w:val="22"/>
              </w:rPr>
            </w:pPr>
            <w:r>
              <w:rPr>
                <w:rFonts w:cs="Calibri"/>
                <w:color w:val="000000"/>
                <w:sz w:val="22"/>
                <w:szCs w:val="22"/>
              </w:rPr>
              <w:t>-4.7%</w:t>
            </w:r>
          </w:p>
        </w:tc>
      </w:tr>
      <w:tr w:rsidR="0056095B" w:rsidRPr="0041256E" w14:paraId="29CE9CB4" w14:textId="77777777" w:rsidTr="00AB365D">
        <w:tblPrEx>
          <w:jc w:val="left"/>
        </w:tblPrEx>
        <w:trPr>
          <w:trHeight w:val="315"/>
        </w:trPr>
        <w:tc>
          <w:tcPr>
            <w:tcW w:w="1808" w:type="dxa"/>
            <w:noWrap/>
            <w:vAlign w:val="bottom"/>
            <w:hideMark/>
          </w:tcPr>
          <w:p w14:paraId="0B6321A7" w14:textId="68371D15" w:rsidR="0056095B" w:rsidRPr="0041256E" w:rsidRDefault="0056095B" w:rsidP="0056095B">
            <w:pPr>
              <w:jc w:val="center"/>
              <w:rPr>
                <w:rFonts w:eastAsia="Times New Roman" w:cs="Calibri"/>
                <w:color w:val="000000"/>
                <w:szCs w:val="24"/>
              </w:rPr>
            </w:pPr>
            <w:r>
              <w:rPr>
                <w:rFonts w:cs="Calibri"/>
                <w:color w:val="000000"/>
                <w:sz w:val="22"/>
                <w:szCs w:val="22"/>
              </w:rPr>
              <w:t>Somerset</w:t>
            </w:r>
          </w:p>
        </w:tc>
        <w:tc>
          <w:tcPr>
            <w:tcW w:w="1548" w:type="dxa"/>
            <w:noWrap/>
            <w:vAlign w:val="bottom"/>
            <w:hideMark/>
          </w:tcPr>
          <w:p w14:paraId="750EB9FD" w14:textId="3F7C7C48" w:rsidR="0056095B" w:rsidRPr="0041256E" w:rsidRDefault="0056095B" w:rsidP="0056095B">
            <w:pPr>
              <w:jc w:val="center"/>
              <w:rPr>
                <w:rFonts w:eastAsia="Times New Roman" w:cs="Calibri"/>
                <w:color w:val="000000"/>
                <w:sz w:val="22"/>
                <w:szCs w:val="22"/>
              </w:rPr>
            </w:pPr>
            <w:r>
              <w:rPr>
                <w:rFonts w:cs="Calibri"/>
                <w:color w:val="000000"/>
                <w:sz w:val="22"/>
                <w:szCs w:val="22"/>
              </w:rPr>
              <w:t>80</w:t>
            </w:r>
          </w:p>
        </w:tc>
        <w:tc>
          <w:tcPr>
            <w:tcW w:w="1409" w:type="dxa"/>
            <w:noWrap/>
            <w:vAlign w:val="bottom"/>
            <w:hideMark/>
          </w:tcPr>
          <w:p w14:paraId="51021333" w14:textId="0CBACF8F" w:rsidR="0056095B" w:rsidRPr="0041256E" w:rsidRDefault="0056095B" w:rsidP="0056095B">
            <w:pPr>
              <w:jc w:val="center"/>
              <w:rPr>
                <w:rFonts w:eastAsia="Times New Roman" w:cs="Calibri"/>
                <w:color w:val="000000"/>
                <w:sz w:val="22"/>
                <w:szCs w:val="22"/>
              </w:rPr>
            </w:pPr>
            <w:r>
              <w:rPr>
                <w:rFonts w:cs="Calibri"/>
                <w:color w:val="000000"/>
                <w:sz w:val="22"/>
                <w:szCs w:val="22"/>
              </w:rPr>
              <w:t>31.2%</w:t>
            </w:r>
          </w:p>
        </w:tc>
        <w:tc>
          <w:tcPr>
            <w:tcW w:w="1440" w:type="dxa"/>
            <w:noWrap/>
            <w:vAlign w:val="bottom"/>
            <w:hideMark/>
          </w:tcPr>
          <w:p w14:paraId="57A761C5" w14:textId="60AF595D" w:rsidR="0056095B" w:rsidRPr="0041256E" w:rsidRDefault="0056095B" w:rsidP="0056095B">
            <w:pPr>
              <w:jc w:val="center"/>
              <w:rPr>
                <w:rFonts w:eastAsia="Times New Roman" w:cs="Calibri"/>
                <w:color w:val="000000"/>
                <w:sz w:val="22"/>
                <w:szCs w:val="22"/>
              </w:rPr>
            </w:pPr>
            <w:r>
              <w:rPr>
                <w:rFonts w:cs="Calibri"/>
                <w:color w:val="000000"/>
                <w:sz w:val="22"/>
                <w:szCs w:val="22"/>
              </w:rPr>
              <w:t>$148,000</w:t>
            </w:r>
          </w:p>
        </w:tc>
        <w:tc>
          <w:tcPr>
            <w:tcW w:w="1289" w:type="dxa"/>
            <w:noWrap/>
            <w:vAlign w:val="bottom"/>
            <w:hideMark/>
          </w:tcPr>
          <w:p w14:paraId="4B5E9F07" w14:textId="371CC380" w:rsidR="0056095B" w:rsidRPr="0041256E" w:rsidRDefault="0056095B" w:rsidP="0056095B">
            <w:pPr>
              <w:jc w:val="center"/>
              <w:rPr>
                <w:rFonts w:eastAsia="Times New Roman" w:cs="Calibri"/>
                <w:color w:val="000000"/>
                <w:sz w:val="22"/>
                <w:szCs w:val="22"/>
              </w:rPr>
            </w:pPr>
            <w:r>
              <w:rPr>
                <w:rFonts w:cs="Calibri"/>
                <w:color w:val="000000"/>
                <w:sz w:val="22"/>
                <w:szCs w:val="22"/>
              </w:rPr>
              <w:t>13.0%</w:t>
            </w:r>
          </w:p>
        </w:tc>
        <w:tc>
          <w:tcPr>
            <w:tcW w:w="1752" w:type="dxa"/>
            <w:noWrap/>
            <w:vAlign w:val="bottom"/>
            <w:hideMark/>
          </w:tcPr>
          <w:p w14:paraId="0807AEEE" w14:textId="32C6FD51" w:rsidR="0056095B" w:rsidRPr="0041256E" w:rsidRDefault="0056095B" w:rsidP="0056095B">
            <w:pPr>
              <w:jc w:val="center"/>
              <w:rPr>
                <w:rFonts w:eastAsia="Times New Roman" w:cs="Calibri"/>
                <w:color w:val="000000"/>
                <w:sz w:val="22"/>
                <w:szCs w:val="22"/>
              </w:rPr>
            </w:pPr>
            <w:r>
              <w:rPr>
                <w:rFonts w:cs="Calibri"/>
                <w:color w:val="000000"/>
                <w:sz w:val="22"/>
                <w:szCs w:val="22"/>
              </w:rPr>
              <w:t>-3.7%</w:t>
            </w:r>
          </w:p>
        </w:tc>
      </w:tr>
      <w:tr w:rsidR="0056095B" w:rsidRPr="0041256E" w14:paraId="4AF516D6" w14:textId="77777777" w:rsidTr="00AB365D">
        <w:tblPrEx>
          <w:jc w:val="left"/>
        </w:tblPrEx>
        <w:trPr>
          <w:trHeight w:val="315"/>
        </w:trPr>
        <w:tc>
          <w:tcPr>
            <w:tcW w:w="1808" w:type="dxa"/>
            <w:noWrap/>
            <w:vAlign w:val="bottom"/>
            <w:hideMark/>
          </w:tcPr>
          <w:p w14:paraId="765E80BA" w14:textId="18216656" w:rsidR="0056095B" w:rsidRPr="0041256E" w:rsidRDefault="0056095B" w:rsidP="0056095B">
            <w:pPr>
              <w:jc w:val="center"/>
              <w:rPr>
                <w:rFonts w:eastAsia="Times New Roman" w:cs="Calibri"/>
                <w:color w:val="000000"/>
                <w:szCs w:val="24"/>
              </w:rPr>
            </w:pPr>
            <w:r>
              <w:rPr>
                <w:rFonts w:cs="Calibri"/>
                <w:color w:val="000000"/>
                <w:sz w:val="22"/>
                <w:szCs w:val="22"/>
              </w:rPr>
              <w:t>Waldo</w:t>
            </w:r>
          </w:p>
        </w:tc>
        <w:tc>
          <w:tcPr>
            <w:tcW w:w="1548" w:type="dxa"/>
            <w:noWrap/>
            <w:vAlign w:val="bottom"/>
            <w:hideMark/>
          </w:tcPr>
          <w:p w14:paraId="227D4985" w14:textId="37C36CA4" w:rsidR="0056095B" w:rsidRPr="0041256E" w:rsidRDefault="0056095B" w:rsidP="0056095B">
            <w:pPr>
              <w:jc w:val="center"/>
              <w:rPr>
                <w:rFonts w:eastAsia="Times New Roman" w:cs="Calibri"/>
                <w:color w:val="000000"/>
                <w:sz w:val="22"/>
                <w:szCs w:val="22"/>
              </w:rPr>
            </w:pPr>
            <w:r>
              <w:rPr>
                <w:rFonts w:cs="Calibri"/>
                <w:color w:val="000000"/>
                <w:sz w:val="22"/>
                <w:szCs w:val="22"/>
              </w:rPr>
              <w:t>67</w:t>
            </w:r>
          </w:p>
        </w:tc>
        <w:tc>
          <w:tcPr>
            <w:tcW w:w="1409" w:type="dxa"/>
            <w:noWrap/>
            <w:vAlign w:val="bottom"/>
            <w:hideMark/>
          </w:tcPr>
          <w:p w14:paraId="3B7A4729" w14:textId="71A5E300" w:rsidR="0056095B" w:rsidRPr="0041256E" w:rsidRDefault="0056095B" w:rsidP="0056095B">
            <w:pPr>
              <w:jc w:val="center"/>
              <w:rPr>
                <w:rFonts w:eastAsia="Times New Roman" w:cs="Calibri"/>
                <w:color w:val="000000"/>
                <w:sz w:val="22"/>
                <w:szCs w:val="22"/>
              </w:rPr>
            </w:pPr>
            <w:r>
              <w:rPr>
                <w:rFonts w:cs="Calibri"/>
                <w:color w:val="000000"/>
                <w:sz w:val="22"/>
                <w:szCs w:val="22"/>
              </w:rPr>
              <w:t>28.9%</w:t>
            </w:r>
          </w:p>
        </w:tc>
        <w:tc>
          <w:tcPr>
            <w:tcW w:w="1440" w:type="dxa"/>
            <w:noWrap/>
            <w:vAlign w:val="bottom"/>
            <w:hideMark/>
          </w:tcPr>
          <w:p w14:paraId="5D08D38C" w14:textId="6A95FAD0" w:rsidR="0056095B" w:rsidRPr="0041256E" w:rsidRDefault="0056095B" w:rsidP="0056095B">
            <w:pPr>
              <w:jc w:val="center"/>
              <w:rPr>
                <w:rFonts w:eastAsia="Times New Roman" w:cs="Calibri"/>
                <w:color w:val="000000"/>
                <w:sz w:val="22"/>
                <w:szCs w:val="22"/>
              </w:rPr>
            </w:pPr>
            <w:r>
              <w:rPr>
                <w:rFonts w:cs="Calibri"/>
                <w:color w:val="000000"/>
                <w:sz w:val="22"/>
                <w:szCs w:val="22"/>
              </w:rPr>
              <w:t>$250,000</w:t>
            </w:r>
          </w:p>
        </w:tc>
        <w:tc>
          <w:tcPr>
            <w:tcW w:w="1289" w:type="dxa"/>
            <w:noWrap/>
            <w:vAlign w:val="bottom"/>
            <w:hideMark/>
          </w:tcPr>
          <w:p w14:paraId="36A89207" w14:textId="7467625A" w:rsidR="0056095B" w:rsidRPr="0041256E" w:rsidRDefault="0056095B" w:rsidP="0056095B">
            <w:pPr>
              <w:jc w:val="center"/>
              <w:rPr>
                <w:rFonts w:eastAsia="Times New Roman" w:cs="Calibri"/>
                <w:color w:val="000000"/>
                <w:sz w:val="22"/>
                <w:szCs w:val="22"/>
              </w:rPr>
            </w:pPr>
            <w:r>
              <w:rPr>
                <w:rFonts w:cs="Calibri"/>
                <w:color w:val="000000"/>
                <w:sz w:val="22"/>
                <w:szCs w:val="22"/>
              </w:rPr>
              <w:t>9.4%</w:t>
            </w:r>
          </w:p>
        </w:tc>
        <w:tc>
          <w:tcPr>
            <w:tcW w:w="1752" w:type="dxa"/>
            <w:noWrap/>
            <w:vAlign w:val="bottom"/>
            <w:hideMark/>
          </w:tcPr>
          <w:p w14:paraId="7BF6ED28" w14:textId="368040F7" w:rsidR="0056095B" w:rsidRPr="0041256E" w:rsidRDefault="0056095B" w:rsidP="0056095B">
            <w:pPr>
              <w:jc w:val="center"/>
              <w:rPr>
                <w:rFonts w:eastAsia="Times New Roman" w:cs="Calibri"/>
                <w:color w:val="000000"/>
                <w:sz w:val="22"/>
                <w:szCs w:val="22"/>
              </w:rPr>
            </w:pPr>
            <w:r>
              <w:rPr>
                <w:rFonts w:cs="Calibri"/>
                <w:color w:val="000000"/>
                <w:sz w:val="22"/>
                <w:szCs w:val="22"/>
              </w:rPr>
              <w:t>-4.6%</w:t>
            </w:r>
          </w:p>
        </w:tc>
      </w:tr>
      <w:tr w:rsidR="0056095B" w:rsidRPr="0041256E" w14:paraId="12B6C8E8" w14:textId="77777777" w:rsidTr="00AB365D">
        <w:tblPrEx>
          <w:jc w:val="left"/>
        </w:tblPrEx>
        <w:trPr>
          <w:trHeight w:val="315"/>
        </w:trPr>
        <w:tc>
          <w:tcPr>
            <w:tcW w:w="1808" w:type="dxa"/>
            <w:noWrap/>
            <w:vAlign w:val="bottom"/>
            <w:hideMark/>
          </w:tcPr>
          <w:p w14:paraId="3779DA99" w14:textId="0FB59B5A" w:rsidR="0056095B" w:rsidRPr="0041256E" w:rsidRDefault="0056095B" w:rsidP="0056095B">
            <w:pPr>
              <w:jc w:val="center"/>
              <w:rPr>
                <w:rFonts w:eastAsia="Times New Roman" w:cs="Calibri"/>
                <w:color w:val="000000"/>
                <w:szCs w:val="24"/>
              </w:rPr>
            </w:pPr>
            <w:r>
              <w:rPr>
                <w:rFonts w:cs="Calibri"/>
                <w:color w:val="000000"/>
                <w:sz w:val="22"/>
                <w:szCs w:val="22"/>
              </w:rPr>
              <w:t>Washington</w:t>
            </w:r>
          </w:p>
        </w:tc>
        <w:tc>
          <w:tcPr>
            <w:tcW w:w="1548" w:type="dxa"/>
            <w:noWrap/>
            <w:vAlign w:val="bottom"/>
            <w:hideMark/>
          </w:tcPr>
          <w:p w14:paraId="58C3E4AA" w14:textId="2582E869" w:rsidR="0056095B" w:rsidRPr="0041256E" w:rsidRDefault="0056095B" w:rsidP="0056095B">
            <w:pPr>
              <w:jc w:val="center"/>
              <w:rPr>
                <w:rFonts w:eastAsia="Times New Roman" w:cs="Calibri"/>
                <w:color w:val="000000"/>
                <w:sz w:val="22"/>
                <w:szCs w:val="22"/>
              </w:rPr>
            </w:pPr>
            <w:r>
              <w:rPr>
                <w:rFonts w:cs="Calibri"/>
                <w:color w:val="000000"/>
                <w:sz w:val="22"/>
                <w:szCs w:val="22"/>
              </w:rPr>
              <w:t>78</w:t>
            </w:r>
          </w:p>
        </w:tc>
        <w:tc>
          <w:tcPr>
            <w:tcW w:w="1409" w:type="dxa"/>
            <w:noWrap/>
            <w:vAlign w:val="bottom"/>
            <w:hideMark/>
          </w:tcPr>
          <w:p w14:paraId="6E2839BA" w14:textId="332BED6D" w:rsidR="0056095B" w:rsidRPr="0041256E" w:rsidRDefault="0056095B" w:rsidP="0056095B">
            <w:pPr>
              <w:jc w:val="center"/>
              <w:rPr>
                <w:rFonts w:eastAsia="Times New Roman" w:cs="Calibri"/>
                <w:color w:val="000000"/>
                <w:sz w:val="22"/>
                <w:szCs w:val="22"/>
              </w:rPr>
            </w:pPr>
            <w:r>
              <w:rPr>
                <w:rFonts w:cs="Calibri"/>
                <w:color w:val="000000"/>
                <w:sz w:val="22"/>
                <w:szCs w:val="22"/>
              </w:rPr>
              <w:t>69.6%</w:t>
            </w:r>
          </w:p>
        </w:tc>
        <w:tc>
          <w:tcPr>
            <w:tcW w:w="1440" w:type="dxa"/>
            <w:noWrap/>
            <w:vAlign w:val="bottom"/>
            <w:hideMark/>
          </w:tcPr>
          <w:p w14:paraId="183B8AF6" w14:textId="3478ECC7" w:rsidR="0056095B" w:rsidRPr="0041256E" w:rsidRDefault="0056095B" w:rsidP="0056095B">
            <w:pPr>
              <w:jc w:val="center"/>
              <w:rPr>
                <w:rFonts w:eastAsia="Times New Roman" w:cs="Calibri"/>
                <w:color w:val="000000"/>
                <w:sz w:val="22"/>
                <w:szCs w:val="22"/>
              </w:rPr>
            </w:pPr>
            <w:r>
              <w:rPr>
                <w:rFonts w:cs="Calibri"/>
                <w:color w:val="000000"/>
                <w:sz w:val="22"/>
                <w:szCs w:val="22"/>
              </w:rPr>
              <w:t>$172,450</w:t>
            </w:r>
          </w:p>
        </w:tc>
        <w:tc>
          <w:tcPr>
            <w:tcW w:w="1289" w:type="dxa"/>
            <w:noWrap/>
            <w:vAlign w:val="bottom"/>
            <w:hideMark/>
          </w:tcPr>
          <w:p w14:paraId="3F4EB28B" w14:textId="5D8F6347" w:rsidR="0056095B" w:rsidRPr="0041256E" w:rsidRDefault="0056095B" w:rsidP="0056095B">
            <w:pPr>
              <w:jc w:val="center"/>
              <w:rPr>
                <w:rFonts w:eastAsia="Times New Roman" w:cs="Calibri"/>
                <w:color w:val="000000"/>
                <w:sz w:val="22"/>
                <w:szCs w:val="22"/>
              </w:rPr>
            </w:pPr>
            <w:r>
              <w:rPr>
                <w:rFonts w:cs="Calibri"/>
                <w:color w:val="000000"/>
                <w:sz w:val="22"/>
                <w:szCs w:val="22"/>
              </w:rPr>
              <w:t>57.1%</w:t>
            </w:r>
          </w:p>
        </w:tc>
        <w:tc>
          <w:tcPr>
            <w:tcW w:w="1752" w:type="dxa"/>
            <w:noWrap/>
            <w:vAlign w:val="bottom"/>
            <w:hideMark/>
          </w:tcPr>
          <w:p w14:paraId="49245AA8" w14:textId="222B8B62" w:rsidR="0056095B" w:rsidRPr="0041256E" w:rsidRDefault="0056095B" w:rsidP="0056095B">
            <w:pPr>
              <w:jc w:val="center"/>
              <w:rPr>
                <w:rFonts w:eastAsia="Times New Roman" w:cs="Calibri"/>
                <w:color w:val="000000"/>
                <w:sz w:val="22"/>
                <w:szCs w:val="22"/>
              </w:rPr>
            </w:pPr>
            <w:r>
              <w:rPr>
                <w:rFonts w:cs="Calibri"/>
                <w:color w:val="000000"/>
                <w:sz w:val="22"/>
                <w:szCs w:val="22"/>
              </w:rPr>
              <w:t>-4.2%</w:t>
            </w:r>
          </w:p>
        </w:tc>
      </w:tr>
      <w:tr w:rsidR="0056095B" w:rsidRPr="0041256E" w14:paraId="2B94B63F" w14:textId="77777777" w:rsidTr="00AB365D">
        <w:tblPrEx>
          <w:jc w:val="left"/>
        </w:tblPrEx>
        <w:trPr>
          <w:trHeight w:val="315"/>
        </w:trPr>
        <w:tc>
          <w:tcPr>
            <w:tcW w:w="1808" w:type="dxa"/>
            <w:noWrap/>
            <w:vAlign w:val="bottom"/>
            <w:hideMark/>
          </w:tcPr>
          <w:p w14:paraId="09463903" w14:textId="46355F10" w:rsidR="0056095B" w:rsidRPr="0041256E" w:rsidRDefault="0056095B" w:rsidP="0056095B">
            <w:pPr>
              <w:jc w:val="center"/>
              <w:rPr>
                <w:rFonts w:eastAsia="Times New Roman" w:cs="Calibri"/>
                <w:color w:val="000000"/>
                <w:szCs w:val="24"/>
              </w:rPr>
            </w:pPr>
            <w:r>
              <w:rPr>
                <w:rFonts w:cs="Calibri"/>
                <w:color w:val="000000"/>
                <w:sz w:val="22"/>
                <w:szCs w:val="22"/>
              </w:rPr>
              <w:t>York</w:t>
            </w:r>
          </w:p>
        </w:tc>
        <w:tc>
          <w:tcPr>
            <w:tcW w:w="1548" w:type="dxa"/>
            <w:noWrap/>
            <w:vAlign w:val="bottom"/>
            <w:hideMark/>
          </w:tcPr>
          <w:p w14:paraId="6605DB90" w14:textId="6361229D" w:rsidR="0056095B" w:rsidRPr="0041256E" w:rsidRDefault="0056095B" w:rsidP="0056095B">
            <w:pPr>
              <w:jc w:val="center"/>
              <w:rPr>
                <w:rFonts w:eastAsia="Times New Roman" w:cs="Calibri"/>
                <w:color w:val="000000"/>
                <w:sz w:val="22"/>
                <w:szCs w:val="22"/>
              </w:rPr>
            </w:pPr>
            <w:r>
              <w:rPr>
                <w:rFonts w:cs="Calibri"/>
                <w:color w:val="000000"/>
                <w:sz w:val="22"/>
                <w:szCs w:val="22"/>
              </w:rPr>
              <w:t>347</w:t>
            </w:r>
          </w:p>
        </w:tc>
        <w:tc>
          <w:tcPr>
            <w:tcW w:w="1409" w:type="dxa"/>
            <w:noWrap/>
            <w:vAlign w:val="bottom"/>
            <w:hideMark/>
          </w:tcPr>
          <w:p w14:paraId="09C51B5A" w14:textId="42B6376E" w:rsidR="0056095B" w:rsidRPr="0041256E" w:rsidRDefault="0056095B" w:rsidP="0056095B">
            <w:pPr>
              <w:jc w:val="center"/>
              <w:rPr>
                <w:rFonts w:eastAsia="Times New Roman" w:cs="Calibri"/>
                <w:color w:val="000000"/>
                <w:sz w:val="22"/>
                <w:szCs w:val="22"/>
              </w:rPr>
            </w:pPr>
            <w:r>
              <w:rPr>
                <w:rFonts w:cs="Calibri"/>
                <w:color w:val="000000"/>
                <w:sz w:val="22"/>
                <w:szCs w:val="22"/>
              </w:rPr>
              <w:t>24.8%</w:t>
            </w:r>
          </w:p>
        </w:tc>
        <w:tc>
          <w:tcPr>
            <w:tcW w:w="1440" w:type="dxa"/>
            <w:noWrap/>
            <w:vAlign w:val="bottom"/>
            <w:hideMark/>
          </w:tcPr>
          <w:p w14:paraId="69B6FEB8" w14:textId="3EA22B37" w:rsidR="0056095B" w:rsidRPr="0041256E" w:rsidRDefault="0056095B" w:rsidP="0056095B">
            <w:pPr>
              <w:jc w:val="center"/>
              <w:rPr>
                <w:rFonts w:eastAsia="Times New Roman" w:cs="Calibri"/>
                <w:color w:val="000000"/>
                <w:sz w:val="22"/>
                <w:szCs w:val="22"/>
              </w:rPr>
            </w:pPr>
            <w:r>
              <w:rPr>
                <w:rFonts w:cs="Calibri"/>
                <w:color w:val="000000"/>
                <w:sz w:val="22"/>
                <w:szCs w:val="22"/>
              </w:rPr>
              <w:t>$368,000</w:t>
            </w:r>
          </w:p>
        </w:tc>
        <w:tc>
          <w:tcPr>
            <w:tcW w:w="1289" w:type="dxa"/>
            <w:noWrap/>
            <w:vAlign w:val="bottom"/>
            <w:hideMark/>
          </w:tcPr>
          <w:p w14:paraId="2C56CD6F" w14:textId="10499CD8" w:rsidR="0056095B" w:rsidRPr="0041256E" w:rsidRDefault="0056095B" w:rsidP="0056095B">
            <w:pPr>
              <w:jc w:val="center"/>
              <w:rPr>
                <w:rFonts w:eastAsia="Times New Roman" w:cs="Calibri"/>
                <w:color w:val="000000"/>
                <w:sz w:val="22"/>
                <w:szCs w:val="22"/>
              </w:rPr>
            </w:pPr>
            <w:r>
              <w:rPr>
                <w:rFonts w:cs="Calibri"/>
                <w:color w:val="000000"/>
                <w:sz w:val="22"/>
                <w:szCs w:val="22"/>
              </w:rPr>
              <w:t>15.2%</w:t>
            </w:r>
          </w:p>
        </w:tc>
        <w:tc>
          <w:tcPr>
            <w:tcW w:w="1752" w:type="dxa"/>
            <w:noWrap/>
            <w:vAlign w:val="bottom"/>
            <w:hideMark/>
          </w:tcPr>
          <w:p w14:paraId="1913E714" w14:textId="2F9DCF24" w:rsidR="0056095B" w:rsidRPr="0041256E" w:rsidRDefault="0056095B" w:rsidP="0056095B">
            <w:pPr>
              <w:jc w:val="center"/>
              <w:rPr>
                <w:rFonts w:eastAsia="Times New Roman" w:cs="Calibri"/>
                <w:color w:val="000000"/>
                <w:sz w:val="22"/>
                <w:szCs w:val="22"/>
              </w:rPr>
            </w:pPr>
            <w:r>
              <w:rPr>
                <w:rFonts w:cs="Calibri"/>
                <w:color w:val="000000"/>
                <w:sz w:val="22"/>
                <w:szCs w:val="22"/>
              </w:rPr>
              <w:t>1.3%</w:t>
            </w:r>
          </w:p>
        </w:tc>
      </w:tr>
      <w:tr w:rsidR="0056095B" w:rsidRPr="0041256E" w14:paraId="60DB4840" w14:textId="77777777" w:rsidTr="00AB365D">
        <w:tblPrEx>
          <w:jc w:val="left"/>
        </w:tblPrEx>
        <w:trPr>
          <w:trHeight w:val="260"/>
        </w:trPr>
        <w:tc>
          <w:tcPr>
            <w:tcW w:w="1808" w:type="dxa"/>
            <w:noWrap/>
            <w:vAlign w:val="bottom"/>
            <w:hideMark/>
          </w:tcPr>
          <w:p w14:paraId="03204969" w14:textId="3295B98F" w:rsidR="0056095B" w:rsidRPr="00AB365D" w:rsidRDefault="0056095B" w:rsidP="0056095B">
            <w:pPr>
              <w:jc w:val="center"/>
              <w:rPr>
                <w:rFonts w:eastAsia="Times New Roman" w:cs="Calibri"/>
                <w:b/>
                <w:color w:val="000000"/>
                <w:szCs w:val="24"/>
              </w:rPr>
            </w:pPr>
            <w:r w:rsidRPr="00AB365D">
              <w:rPr>
                <w:rFonts w:cs="Calibri"/>
                <w:b/>
                <w:color w:val="000000"/>
                <w:sz w:val="22"/>
                <w:szCs w:val="22"/>
              </w:rPr>
              <w:t>Maine</w:t>
            </w:r>
          </w:p>
        </w:tc>
        <w:tc>
          <w:tcPr>
            <w:tcW w:w="1548" w:type="dxa"/>
            <w:noWrap/>
            <w:vAlign w:val="bottom"/>
            <w:hideMark/>
          </w:tcPr>
          <w:p w14:paraId="08ACEF4E" w14:textId="7CB1CAA0" w:rsidR="0056095B" w:rsidRPr="00AB365D" w:rsidRDefault="0056095B" w:rsidP="0056095B">
            <w:pPr>
              <w:jc w:val="center"/>
              <w:rPr>
                <w:rFonts w:eastAsia="Times New Roman" w:cs="Calibri"/>
                <w:b/>
                <w:color w:val="000000"/>
                <w:sz w:val="22"/>
                <w:szCs w:val="22"/>
              </w:rPr>
            </w:pPr>
            <w:r>
              <w:rPr>
                <w:rFonts w:cs="Calibri"/>
                <w:color w:val="000000"/>
                <w:sz w:val="22"/>
                <w:szCs w:val="22"/>
              </w:rPr>
              <w:t>2,291</w:t>
            </w:r>
          </w:p>
        </w:tc>
        <w:tc>
          <w:tcPr>
            <w:tcW w:w="1409" w:type="dxa"/>
            <w:noWrap/>
            <w:vAlign w:val="bottom"/>
            <w:hideMark/>
          </w:tcPr>
          <w:p w14:paraId="6D65329E" w14:textId="0926B281" w:rsidR="0056095B" w:rsidRPr="00AB365D" w:rsidRDefault="0056095B" w:rsidP="0056095B">
            <w:pPr>
              <w:jc w:val="center"/>
              <w:rPr>
                <w:rFonts w:eastAsia="Times New Roman" w:cs="Calibri"/>
                <w:b/>
                <w:color w:val="000000"/>
                <w:sz w:val="22"/>
                <w:szCs w:val="22"/>
              </w:rPr>
            </w:pPr>
            <w:r>
              <w:rPr>
                <w:rFonts w:cs="Calibri"/>
                <w:color w:val="000000"/>
                <w:sz w:val="22"/>
                <w:szCs w:val="22"/>
              </w:rPr>
              <w:t>22.8%</w:t>
            </w:r>
          </w:p>
        </w:tc>
        <w:tc>
          <w:tcPr>
            <w:tcW w:w="1440" w:type="dxa"/>
            <w:noWrap/>
            <w:vAlign w:val="bottom"/>
            <w:hideMark/>
          </w:tcPr>
          <w:p w14:paraId="5E53B978" w14:textId="4553E9CE" w:rsidR="0056095B" w:rsidRPr="00AB365D" w:rsidRDefault="0056095B" w:rsidP="0056095B">
            <w:pPr>
              <w:jc w:val="center"/>
              <w:rPr>
                <w:rFonts w:eastAsia="Times New Roman" w:cs="Calibri"/>
                <w:b/>
                <w:color w:val="000000"/>
                <w:sz w:val="22"/>
                <w:szCs w:val="22"/>
              </w:rPr>
            </w:pPr>
            <w:r>
              <w:rPr>
                <w:rFonts w:cs="Calibri"/>
                <w:color w:val="000000"/>
                <w:sz w:val="22"/>
                <w:szCs w:val="22"/>
              </w:rPr>
              <w:t>$273,500</w:t>
            </w:r>
          </w:p>
        </w:tc>
        <w:tc>
          <w:tcPr>
            <w:tcW w:w="1289" w:type="dxa"/>
            <w:noWrap/>
            <w:vAlign w:val="bottom"/>
            <w:hideMark/>
          </w:tcPr>
          <w:p w14:paraId="4CFF18AB" w14:textId="2ECCB834" w:rsidR="0056095B" w:rsidRPr="00AB365D" w:rsidRDefault="0056095B" w:rsidP="0056095B">
            <w:pPr>
              <w:jc w:val="center"/>
              <w:rPr>
                <w:rFonts w:eastAsia="Times New Roman" w:cs="Calibri"/>
                <w:b/>
                <w:color w:val="000000"/>
                <w:sz w:val="22"/>
                <w:szCs w:val="22"/>
              </w:rPr>
            </w:pPr>
            <w:r>
              <w:rPr>
                <w:rFonts w:cs="Calibri"/>
                <w:color w:val="000000"/>
                <w:sz w:val="22"/>
                <w:szCs w:val="22"/>
              </w:rPr>
              <w:t>19.6%</w:t>
            </w:r>
          </w:p>
        </w:tc>
        <w:tc>
          <w:tcPr>
            <w:tcW w:w="1752" w:type="dxa"/>
            <w:noWrap/>
            <w:vAlign w:val="bottom"/>
            <w:hideMark/>
          </w:tcPr>
          <w:p w14:paraId="71623D6C" w14:textId="2BB1CDD3" w:rsidR="0056095B" w:rsidRPr="00AB365D" w:rsidRDefault="0056095B" w:rsidP="0056095B">
            <w:pPr>
              <w:jc w:val="center"/>
              <w:rPr>
                <w:rFonts w:eastAsia="Times New Roman" w:cs="Calibri"/>
                <w:b/>
                <w:color w:val="000000"/>
                <w:sz w:val="22"/>
                <w:szCs w:val="22"/>
              </w:rPr>
            </w:pPr>
            <w:r>
              <w:rPr>
                <w:rFonts w:cs="Calibri"/>
                <w:color w:val="000000"/>
                <w:sz w:val="22"/>
                <w:szCs w:val="22"/>
              </w:rPr>
              <w:t>1.3%</w:t>
            </w:r>
          </w:p>
        </w:tc>
      </w:tr>
    </w:tbl>
    <w:p w14:paraId="621408FE" w14:textId="114424F0" w:rsidR="002B7B96" w:rsidRDefault="002B7B96" w:rsidP="002B7B96"/>
    <w:p w14:paraId="7E49CAB9" w14:textId="40E9D92F" w:rsidR="001D1AD4" w:rsidRDefault="00E57D38" w:rsidP="00E57D38">
      <w:pPr>
        <w:pStyle w:val="Heading3"/>
      </w:pPr>
      <w:r>
        <w:t>House Price Index</w:t>
      </w:r>
    </w:p>
    <w:p w14:paraId="67538088" w14:textId="29A11E7D" w:rsidR="00E57D38" w:rsidRDefault="00E57D38" w:rsidP="00E57D38">
      <w:pPr>
        <w:spacing w:after="0"/>
      </w:pPr>
      <w:r w:rsidRPr="002068C7">
        <w:t xml:space="preserve">In the </w:t>
      </w:r>
      <w:r w:rsidR="00F135CD" w:rsidRPr="002068C7">
        <w:t>second</w:t>
      </w:r>
      <w:r w:rsidRPr="002068C7">
        <w:t xml:space="preserve"> quarter of 2020, the housing price index (HPI) in Maine, New England, and the U.S. continued to rise. According to the Federal Housing Finance Agency (FHFA), the HPI “measures average price changes in repeat sales or refinancing on the same properties.” Maine’s HPI increased by </w:t>
      </w:r>
      <w:r w:rsidR="00F135CD" w:rsidRPr="002068C7">
        <w:t>0.4</w:t>
      </w:r>
      <w:r w:rsidRPr="002068C7">
        <w:t xml:space="preserve"> percent from the previous quarter (</w:t>
      </w:r>
      <w:proofErr w:type="gramStart"/>
      <w:r w:rsidR="00F135CD" w:rsidRPr="002068C7">
        <w:t>2020:Q</w:t>
      </w:r>
      <w:proofErr w:type="gramEnd"/>
      <w:r w:rsidR="00F135CD" w:rsidRPr="002068C7">
        <w:t>1</w:t>
      </w:r>
      <w:r w:rsidRPr="002068C7">
        <w:t xml:space="preserve"> to 20</w:t>
      </w:r>
      <w:r w:rsidR="00F44A7D" w:rsidRPr="002068C7">
        <w:t>20</w:t>
      </w:r>
      <w:r w:rsidRPr="002068C7">
        <w:t>:Q</w:t>
      </w:r>
      <w:r w:rsidR="00F135CD" w:rsidRPr="002068C7">
        <w:t>2</w:t>
      </w:r>
      <w:r w:rsidRPr="002068C7">
        <w:t xml:space="preserve">). Maine’s year-over-year HPI growth rate was higher than both the regional growth rate and the national growth rate at </w:t>
      </w:r>
      <w:r w:rsidR="00F135CD" w:rsidRPr="002068C7">
        <w:t>6.5</w:t>
      </w:r>
      <w:r w:rsidRPr="002068C7">
        <w:t>%</w:t>
      </w:r>
      <w:r w:rsidR="00F44A7D" w:rsidRPr="002068C7">
        <w:t xml:space="preserve"> compared to </w:t>
      </w:r>
      <w:r w:rsidR="00F135CD" w:rsidRPr="002068C7">
        <w:t>4.6</w:t>
      </w:r>
      <w:r w:rsidR="00F44A7D" w:rsidRPr="002068C7">
        <w:t xml:space="preserve">% in </w:t>
      </w:r>
      <w:r w:rsidR="00C8649D" w:rsidRPr="002068C7">
        <w:t>both New England and the U.S.</w:t>
      </w:r>
      <w:r w:rsidR="00C8649D">
        <w:t xml:space="preserve"> </w:t>
      </w:r>
      <w:r>
        <w:t xml:space="preserve"> </w:t>
      </w:r>
    </w:p>
    <w:p w14:paraId="0976DFF7" w14:textId="77777777" w:rsidR="00E57D38" w:rsidRDefault="00E57D38" w:rsidP="00E57D38">
      <w:pPr>
        <w:spacing w:after="0"/>
      </w:pPr>
    </w:p>
    <w:tbl>
      <w:tblPr>
        <w:tblStyle w:val="TableGrid"/>
        <w:tblW w:w="10525" w:type="dxa"/>
        <w:tblLayout w:type="fixed"/>
        <w:tblLook w:val="04A0" w:firstRow="1" w:lastRow="0" w:firstColumn="1" w:lastColumn="0" w:noHBand="0" w:noVBand="1"/>
      </w:tblPr>
      <w:tblGrid>
        <w:gridCol w:w="2065"/>
        <w:gridCol w:w="4230"/>
        <w:gridCol w:w="900"/>
        <w:gridCol w:w="1710"/>
        <w:gridCol w:w="1620"/>
      </w:tblGrid>
      <w:tr w:rsidR="00E57D38" w14:paraId="7E8E20DC" w14:textId="77777777" w:rsidTr="00BB7932">
        <w:trPr>
          <w:trHeight w:val="277"/>
        </w:trPr>
        <w:tc>
          <w:tcPr>
            <w:tcW w:w="2065" w:type="dxa"/>
            <w:shd w:val="clear" w:color="auto" w:fill="E7E6E6" w:themeFill="background2"/>
          </w:tcPr>
          <w:p w14:paraId="307AB231" w14:textId="77777777" w:rsidR="00E57D38" w:rsidRPr="0025222E" w:rsidRDefault="00E57D38" w:rsidP="00BB7932">
            <w:pPr>
              <w:rPr>
                <w:b/>
              </w:rPr>
            </w:pPr>
            <w:bookmarkStart w:id="4" w:name="_Hlk523216149"/>
            <w:r w:rsidRPr="0025222E">
              <w:rPr>
                <w:b/>
              </w:rPr>
              <w:t>Reference Period</w:t>
            </w:r>
          </w:p>
        </w:tc>
        <w:tc>
          <w:tcPr>
            <w:tcW w:w="4230" w:type="dxa"/>
            <w:shd w:val="clear" w:color="auto" w:fill="E7E6E6" w:themeFill="background2"/>
          </w:tcPr>
          <w:p w14:paraId="6E12C2C3" w14:textId="77777777" w:rsidR="00E57D38" w:rsidRPr="0025222E" w:rsidRDefault="00E57D38" w:rsidP="00BB7932">
            <w:pPr>
              <w:rPr>
                <w:b/>
              </w:rPr>
            </w:pPr>
          </w:p>
        </w:tc>
        <w:tc>
          <w:tcPr>
            <w:tcW w:w="900" w:type="dxa"/>
            <w:shd w:val="clear" w:color="auto" w:fill="E7E6E6" w:themeFill="background2"/>
          </w:tcPr>
          <w:p w14:paraId="60C69F2F" w14:textId="77777777" w:rsidR="00E57D38" w:rsidRPr="0025222E" w:rsidRDefault="00E57D38" w:rsidP="00BB7932">
            <w:pPr>
              <w:jc w:val="center"/>
              <w:rPr>
                <w:b/>
              </w:rPr>
            </w:pPr>
            <w:r w:rsidRPr="0025222E">
              <w:rPr>
                <w:b/>
              </w:rPr>
              <w:t>Maine</w:t>
            </w:r>
          </w:p>
        </w:tc>
        <w:tc>
          <w:tcPr>
            <w:tcW w:w="1710" w:type="dxa"/>
            <w:shd w:val="clear" w:color="auto" w:fill="E7E6E6" w:themeFill="background2"/>
          </w:tcPr>
          <w:p w14:paraId="3ED5C117" w14:textId="77777777" w:rsidR="00E57D38" w:rsidRPr="0025222E" w:rsidRDefault="00E57D38" w:rsidP="00BB7932">
            <w:pPr>
              <w:jc w:val="center"/>
              <w:rPr>
                <w:b/>
              </w:rPr>
            </w:pPr>
            <w:r w:rsidRPr="0025222E">
              <w:rPr>
                <w:b/>
              </w:rPr>
              <w:t>New England</w:t>
            </w:r>
          </w:p>
        </w:tc>
        <w:tc>
          <w:tcPr>
            <w:tcW w:w="1620" w:type="dxa"/>
            <w:shd w:val="clear" w:color="auto" w:fill="E7E6E6" w:themeFill="background2"/>
          </w:tcPr>
          <w:p w14:paraId="295D623A" w14:textId="77777777" w:rsidR="00E57D38" w:rsidRPr="0025222E" w:rsidRDefault="00E57D38" w:rsidP="00BB7932">
            <w:pPr>
              <w:jc w:val="center"/>
              <w:rPr>
                <w:b/>
              </w:rPr>
            </w:pPr>
            <w:r w:rsidRPr="0025222E">
              <w:rPr>
                <w:b/>
              </w:rPr>
              <w:t>United States</w:t>
            </w:r>
          </w:p>
        </w:tc>
      </w:tr>
      <w:tr w:rsidR="00E57D38" w14:paraId="44EB5571" w14:textId="77777777" w:rsidTr="00BB7932">
        <w:trPr>
          <w:trHeight w:val="332"/>
        </w:trPr>
        <w:tc>
          <w:tcPr>
            <w:tcW w:w="2065" w:type="dxa"/>
            <w:vAlign w:val="center"/>
          </w:tcPr>
          <w:p w14:paraId="2D8F974D" w14:textId="05216C0F" w:rsidR="00E57D38" w:rsidRDefault="00F135CD" w:rsidP="00BB7932">
            <w:proofErr w:type="gramStart"/>
            <w:r>
              <w:t>2020:Q</w:t>
            </w:r>
            <w:proofErr w:type="gramEnd"/>
            <w:r>
              <w:t>1</w:t>
            </w:r>
            <w:r w:rsidR="00F44A7D">
              <w:t>-2020:Q</w:t>
            </w:r>
            <w:r>
              <w:t>2</w:t>
            </w:r>
          </w:p>
        </w:tc>
        <w:tc>
          <w:tcPr>
            <w:tcW w:w="4230" w:type="dxa"/>
            <w:vAlign w:val="center"/>
          </w:tcPr>
          <w:p w14:paraId="78AC36B7" w14:textId="77777777" w:rsidR="00E57D38" w:rsidRDefault="00E57D38" w:rsidP="00BB7932">
            <w:r>
              <w:t>HPI percent change from previous quarter</w:t>
            </w:r>
          </w:p>
        </w:tc>
        <w:tc>
          <w:tcPr>
            <w:tcW w:w="900" w:type="dxa"/>
            <w:vAlign w:val="center"/>
          </w:tcPr>
          <w:p w14:paraId="01BC1135" w14:textId="1ADF65AC" w:rsidR="00E57D38" w:rsidRDefault="00F135CD" w:rsidP="00BB7932">
            <w:pPr>
              <w:jc w:val="center"/>
            </w:pPr>
            <w:r>
              <w:t>0.4</w:t>
            </w:r>
            <w:r w:rsidR="00E57D38">
              <w:t>%</w:t>
            </w:r>
          </w:p>
        </w:tc>
        <w:tc>
          <w:tcPr>
            <w:tcW w:w="1710" w:type="dxa"/>
            <w:vAlign w:val="center"/>
          </w:tcPr>
          <w:p w14:paraId="26ECC225" w14:textId="6CFC4267" w:rsidR="00E57D38" w:rsidRDefault="00F135CD" w:rsidP="00BB7932">
            <w:pPr>
              <w:jc w:val="center"/>
            </w:pPr>
            <w:r>
              <w:t>0.4</w:t>
            </w:r>
            <w:r w:rsidR="00E57D38">
              <w:t>%</w:t>
            </w:r>
          </w:p>
        </w:tc>
        <w:tc>
          <w:tcPr>
            <w:tcW w:w="1620" w:type="dxa"/>
            <w:vAlign w:val="center"/>
          </w:tcPr>
          <w:p w14:paraId="63E0DF81" w14:textId="43B8077A" w:rsidR="00E57D38" w:rsidRDefault="00F135CD" w:rsidP="00BB7932">
            <w:pPr>
              <w:jc w:val="center"/>
            </w:pPr>
            <w:r>
              <w:t>0.8</w:t>
            </w:r>
            <w:r w:rsidR="00E57D38">
              <w:t>%</w:t>
            </w:r>
          </w:p>
        </w:tc>
      </w:tr>
      <w:bookmarkEnd w:id="4"/>
    </w:tbl>
    <w:p w14:paraId="5C9D5AD2" w14:textId="1BB21584" w:rsidR="001D1AD4" w:rsidRDefault="001D1AD4" w:rsidP="002B7B96"/>
    <w:p w14:paraId="0FF66060" w14:textId="5E539C7D" w:rsidR="001D1AD4" w:rsidRPr="002B7B96" w:rsidRDefault="00F135CD" w:rsidP="002B7B96">
      <w:r>
        <w:rPr>
          <w:noProof/>
        </w:rPr>
        <w:drawing>
          <wp:inline distT="0" distB="0" distL="0" distR="0" wp14:anchorId="21807CC1" wp14:editId="1E669000">
            <wp:extent cx="6903720" cy="2164080"/>
            <wp:effectExtent l="0" t="0" r="0" b="7620"/>
            <wp:docPr id="4" name="Chart 4">
              <a:extLst xmlns:a="http://schemas.openxmlformats.org/drawingml/2006/main">
                <a:ext uri="{FF2B5EF4-FFF2-40B4-BE49-F238E27FC236}">
                  <a16:creationId xmlns:a16="http://schemas.microsoft.com/office/drawing/2014/main" id="{2AD43CD6-65FE-4FF3-8E91-E7B02D9BBA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C82DB9" w14:textId="578CD7D8" w:rsidR="00751735" w:rsidRPr="00751735" w:rsidRDefault="00751735" w:rsidP="00751735"/>
    <w:p w14:paraId="054B78C1" w14:textId="1B535156" w:rsidR="00117883" w:rsidRDefault="00117883" w:rsidP="00117883">
      <w:pPr>
        <w:pStyle w:val="Heading1"/>
        <w:pBdr>
          <w:bottom w:val="single" w:sz="4" w:space="1" w:color="auto"/>
        </w:pBdr>
      </w:pPr>
      <w:r>
        <w:lastRenderedPageBreak/>
        <w:t>Sentiment</w:t>
      </w:r>
    </w:p>
    <w:p w14:paraId="7B2C3E61" w14:textId="55881820" w:rsidR="00117883" w:rsidRDefault="00117883" w:rsidP="00117883">
      <w:r w:rsidRPr="00AE691A">
        <w:t xml:space="preserve">The Michigan Survey of Consumers indicates that the index of overall consumer sentiment </w:t>
      </w:r>
      <w:r w:rsidR="00B87A95" w:rsidRPr="00AE691A">
        <w:t>grew slightly</w:t>
      </w:r>
      <w:r w:rsidR="00005F5A">
        <w:t xml:space="preserve"> in October</w:t>
      </w:r>
      <w:r w:rsidR="00B87A95" w:rsidRPr="00AE691A">
        <w:t xml:space="preserve">, </w:t>
      </w:r>
      <w:r w:rsidR="00AE691A" w:rsidRPr="00AE691A">
        <w:t>1.0</w:t>
      </w:r>
      <w:r w:rsidRPr="00AE691A">
        <w:t xml:space="preserve">% </w:t>
      </w:r>
      <w:r w:rsidR="00005F5A">
        <w:t>month-over-month</w:t>
      </w:r>
      <w:r w:rsidR="00B87A95" w:rsidRPr="00AE691A">
        <w:t xml:space="preserve">. This index remains </w:t>
      </w:r>
      <w:r w:rsidR="00444923" w:rsidRPr="00AE691A">
        <w:t>15.</w:t>
      </w:r>
      <w:r w:rsidR="00AE691A" w:rsidRPr="00AE691A">
        <w:t>0</w:t>
      </w:r>
      <w:r w:rsidRPr="00AE691A">
        <w:t xml:space="preserve">% lower than </w:t>
      </w:r>
      <w:r w:rsidR="00AE691A" w:rsidRPr="00AE691A">
        <w:t>October</w:t>
      </w:r>
      <w:r w:rsidR="00444923" w:rsidRPr="00AE691A">
        <w:t xml:space="preserve"> </w:t>
      </w:r>
      <w:r w:rsidRPr="00AE691A">
        <w:t xml:space="preserve">of 2019. The National Federation of Independent Business’s Small Business Optimism index </w:t>
      </w:r>
      <w:r w:rsidR="00B87A95" w:rsidRPr="00AE691A">
        <w:t>also shows a</w:t>
      </w:r>
      <w:r w:rsidR="00AE691A" w:rsidRPr="00AE691A">
        <w:t>n</w:t>
      </w:r>
      <w:r w:rsidR="002B09D0" w:rsidRPr="00AE691A">
        <w:t xml:space="preserve"> increase</w:t>
      </w:r>
      <w:r w:rsidR="00B87A95" w:rsidRPr="00AE691A">
        <w:t xml:space="preserve"> in sentiment in</w:t>
      </w:r>
      <w:r w:rsidR="002B09D0" w:rsidRPr="00AE691A">
        <w:t xml:space="preserve"> </w:t>
      </w:r>
      <w:r w:rsidR="00403DB3">
        <w:t>September</w:t>
      </w:r>
      <w:r w:rsidR="00B87A95" w:rsidRPr="00AE691A">
        <w:t xml:space="preserve">, </w:t>
      </w:r>
      <w:r w:rsidR="002B09D0" w:rsidRPr="00AE691A">
        <w:t xml:space="preserve">up </w:t>
      </w:r>
      <w:r w:rsidR="00AE691A" w:rsidRPr="00AE691A">
        <w:t>3.8</w:t>
      </w:r>
      <w:r w:rsidR="00B87A95" w:rsidRPr="00AE691A">
        <w:t xml:space="preserve">% month-over-month and coming in </w:t>
      </w:r>
      <w:r w:rsidR="00AE691A" w:rsidRPr="00AE691A">
        <w:t>2.2</w:t>
      </w:r>
      <w:r w:rsidR="00B87A95" w:rsidRPr="00AE691A">
        <w:t xml:space="preserve">% </w:t>
      </w:r>
      <w:r w:rsidR="00AE691A" w:rsidRPr="00AE691A">
        <w:t>above September</w:t>
      </w:r>
      <w:r w:rsidR="00B87A95" w:rsidRPr="00AE691A">
        <w:t xml:space="preserve"> 2019.</w:t>
      </w:r>
      <w:r w:rsidR="00444923" w:rsidRPr="00AE691A">
        <w:t xml:space="preserve"> </w:t>
      </w:r>
      <w:r w:rsidR="00AE691A" w:rsidRPr="00AE691A">
        <w:t>Octo</w:t>
      </w:r>
      <w:r w:rsidR="00444923" w:rsidRPr="00AE691A">
        <w:t>ber data are not yet available for th</w:t>
      </w:r>
      <w:r w:rsidR="00AA5911" w:rsidRPr="00AE691A">
        <w:t>e latter</w:t>
      </w:r>
      <w:r w:rsidR="00444923" w:rsidRPr="00AE691A">
        <w:t xml:space="preserve"> index.</w:t>
      </w:r>
    </w:p>
    <w:p w14:paraId="0C64B8E3" w14:textId="09D0F947" w:rsidR="00117883" w:rsidRPr="00117883" w:rsidRDefault="002068C7" w:rsidP="00117883">
      <w:r>
        <w:rPr>
          <w:noProof/>
        </w:rPr>
        <w:drawing>
          <wp:inline distT="0" distB="0" distL="0" distR="0" wp14:anchorId="30F7BF28" wp14:editId="017ED62A">
            <wp:extent cx="6858000" cy="2910840"/>
            <wp:effectExtent l="0" t="0" r="0" b="3810"/>
            <wp:docPr id="17" name="Chart 17">
              <a:extLst xmlns:a="http://schemas.openxmlformats.org/drawingml/2006/main">
                <a:ext uri="{FF2B5EF4-FFF2-40B4-BE49-F238E27FC236}">
                  <a16:creationId xmlns:a16="http://schemas.microsoft.com/office/drawing/2014/main" id="{45B87950-B0CC-49A0-930A-C00612322F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9BE5FC" w14:textId="322D0CA9" w:rsidR="00B176BF" w:rsidRPr="001D1AD4" w:rsidRDefault="001D1AD4" w:rsidP="001D1AD4">
      <w:pPr>
        <w:pStyle w:val="Heading1"/>
        <w:pBdr>
          <w:bottom w:val="single" w:sz="4" w:space="1" w:color="auto"/>
        </w:pBdr>
      </w:pPr>
      <w:r>
        <w:t>COVID-19 Indicators</w:t>
      </w:r>
    </w:p>
    <w:p w14:paraId="2161AEE1" w14:textId="1AC5F4AD" w:rsidR="001D1AD4" w:rsidRDefault="001D1AD4" w:rsidP="001D1AD4">
      <w:pPr>
        <w:pStyle w:val="Heading2"/>
      </w:pPr>
      <w:r>
        <w:t>Traffic changes</w:t>
      </w:r>
    </w:p>
    <w:p w14:paraId="37485AA7" w14:textId="4E1228BE" w:rsidR="001D1AD4" w:rsidRPr="001D1AD4" w:rsidRDefault="001D1AD4" w:rsidP="001D1AD4">
      <w:r w:rsidRPr="00367B93">
        <w:t>Vehicle miles traveled</w:t>
      </w:r>
      <w:r w:rsidR="00C8649D" w:rsidRPr="00367B93">
        <w:t xml:space="preserve"> (VMT)</w:t>
      </w:r>
      <w:r w:rsidRPr="00367B93">
        <w:t xml:space="preserve"> measures the </w:t>
      </w:r>
      <w:r w:rsidR="009508A4" w:rsidRPr="00367B93">
        <w:t xml:space="preserve">amount of travel that has taken place for all vehicles throughout the </w:t>
      </w:r>
      <w:r w:rsidR="0025641F" w:rsidRPr="00367B93">
        <w:t>state and</w:t>
      </w:r>
      <w:r w:rsidR="009508A4" w:rsidRPr="00367B93">
        <w:t xml:space="preserve"> can be interpreted as the </w:t>
      </w:r>
      <w:r w:rsidR="00D438E9" w:rsidRPr="00367B93">
        <w:t>sum</w:t>
      </w:r>
      <w:r w:rsidR="009508A4" w:rsidRPr="00367B93">
        <w:t xml:space="preserve"> of miles traveled </w:t>
      </w:r>
      <w:r w:rsidR="00C8649D" w:rsidRPr="00367B93">
        <w:t>across</w:t>
      </w:r>
      <w:r w:rsidR="009508A4" w:rsidRPr="00367B93">
        <w:t xml:space="preserve"> </w:t>
      </w:r>
      <w:r w:rsidR="00C8649D" w:rsidRPr="00367B93">
        <w:t xml:space="preserve">all </w:t>
      </w:r>
      <w:r w:rsidR="009508A4" w:rsidRPr="00367B93">
        <w:t>vehicle</w:t>
      </w:r>
      <w:r w:rsidR="00C8649D" w:rsidRPr="00367B93">
        <w:t>s</w:t>
      </w:r>
      <w:r w:rsidR="009508A4" w:rsidRPr="00367B93">
        <w:t xml:space="preserve">. For the </w:t>
      </w:r>
      <w:r w:rsidR="00367B93" w:rsidRPr="00367B93">
        <w:t>third week of October</w:t>
      </w:r>
      <w:r w:rsidR="009508A4" w:rsidRPr="00367B93">
        <w:t xml:space="preserve">, statewide VMT was </w:t>
      </w:r>
      <w:r w:rsidR="00367B93" w:rsidRPr="00367B93">
        <w:t>5.9</w:t>
      </w:r>
      <w:r w:rsidR="009508A4" w:rsidRPr="00367B93">
        <w:t>% lower than it was in the same week of 2019</w:t>
      </w:r>
      <w:r w:rsidR="00275C0B" w:rsidRPr="00367B93">
        <w:t xml:space="preserve">. This is </w:t>
      </w:r>
      <w:r w:rsidR="00367B93" w:rsidRPr="00367B93">
        <w:t>up</w:t>
      </w:r>
      <w:r w:rsidR="00E13592" w:rsidRPr="00367B93">
        <w:t xml:space="preserve"> from the previous week (-</w:t>
      </w:r>
      <w:r w:rsidR="00367B93" w:rsidRPr="00367B93">
        <w:t>8.9</w:t>
      </w:r>
      <w:r w:rsidR="00E13592" w:rsidRPr="00367B93">
        <w:t>%</w:t>
      </w:r>
      <w:r w:rsidR="00AA5911" w:rsidRPr="00367B93">
        <w:t xml:space="preserve"> week ending </w:t>
      </w:r>
      <w:r w:rsidR="00367B93" w:rsidRPr="00367B93">
        <w:t>October 17</w:t>
      </w:r>
      <w:r w:rsidR="00E13592" w:rsidRPr="00367B93">
        <w:t>)</w:t>
      </w:r>
      <w:r w:rsidR="00275C0B" w:rsidRPr="00367B93">
        <w:t>.</w:t>
      </w:r>
      <w:r w:rsidR="009508A4" w:rsidRPr="00367B93">
        <w:t xml:space="preserve"> </w:t>
      </w:r>
      <w:r w:rsidR="00275C0B" w:rsidRPr="00367B93">
        <w:t xml:space="preserve">The </w:t>
      </w:r>
      <w:r w:rsidR="0025641F" w:rsidRPr="00367B93">
        <w:t xml:space="preserve">VMT </w:t>
      </w:r>
      <w:r w:rsidR="00275C0B" w:rsidRPr="00367B93">
        <w:t>gap is largest</w:t>
      </w:r>
      <w:r w:rsidR="0025641F" w:rsidRPr="00367B93">
        <w:t xml:space="preserve"> in </w:t>
      </w:r>
      <w:r w:rsidR="0010120B" w:rsidRPr="00367B93">
        <w:t>Piscataquis County (-1</w:t>
      </w:r>
      <w:r w:rsidR="00367B93" w:rsidRPr="00367B93">
        <w:t>2</w:t>
      </w:r>
      <w:r w:rsidR="0010120B" w:rsidRPr="00367B93">
        <w:t xml:space="preserve">.4%) and </w:t>
      </w:r>
      <w:r w:rsidR="00367B93" w:rsidRPr="00367B93">
        <w:t>Sagadahoc</w:t>
      </w:r>
      <w:r w:rsidR="0010120B" w:rsidRPr="00367B93">
        <w:t xml:space="preserve"> County (-</w:t>
      </w:r>
      <w:r w:rsidR="00367B93" w:rsidRPr="00367B93">
        <w:t>8.0</w:t>
      </w:r>
      <w:r w:rsidR="0010120B" w:rsidRPr="00367B93">
        <w:t xml:space="preserve">%) and smallest in </w:t>
      </w:r>
      <w:r w:rsidR="00367B93" w:rsidRPr="00367B93">
        <w:t>Franklin</w:t>
      </w:r>
      <w:r w:rsidR="0010120B" w:rsidRPr="00367B93">
        <w:t xml:space="preserve"> (-</w:t>
      </w:r>
      <w:r w:rsidR="00367B93" w:rsidRPr="00367B93">
        <w:t>1.6</w:t>
      </w:r>
      <w:r w:rsidR="0010120B" w:rsidRPr="00367B93">
        <w:t xml:space="preserve">%) and </w:t>
      </w:r>
      <w:r w:rsidR="00367B93" w:rsidRPr="00367B93">
        <w:t>Aroostook</w:t>
      </w:r>
      <w:r w:rsidR="0010120B" w:rsidRPr="00367B93">
        <w:t xml:space="preserve"> (-</w:t>
      </w:r>
      <w:r w:rsidR="00367B93" w:rsidRPr="00367B93">
        <w:t>3.2</w:t>
      </w:r>
      <w:r w:rsidR="0010120B" w:rsidRPr="00367B93">
        <w:t>%).</w:t>
      </w:r>
      <w:r w:rsidR="0010120B">
        <w:t xml:space="preserve"> </w:t>
      </w:r>
      <w:r w:rsidR="00367B93">
        <w:t xml:space="preserve">Oxford County saw VMT levels 0.4% greater than the same week last year. </w:t>
      </w:r>
    </w:p>
    <w:p w14:paraId="29FA89C5" w14:textId="01376F73" w:rsidR="009C3FEF" w:rsidRDefault="00AE691A" w:rsidP="009C3FEF">
      <w:pPr>
        <w:rPr>
          <w:color w:val="FF0000"/>
        </w:rPr>
      </w:pPr>
      <w:r>
        <w:rPr>
          <w:noProof/>
        </w:rPr>
        <w:drawing>
          <wp:inline distT="0" distB="0" distL="0" distR="0" wp14:anchorId="46BB3344" wp14:editId="037F41BF">
            <wp:extent cx="6842760" cy="2529840"/>
            <wp:effectExtent l="0" t="0" r="0" b="3810"/>
            <wp:docPr id="18" name="Chart 18">
              <a:extLst xmlns:a="http://schemas.openxmlformats.org/drawingml/2006/main">
                <a:ext uri="{FF2B5EF4-FFF2-40B4-BE49-F238E27FC236}">
                  <a16:creationId xmlns:a16="http://schemas.microsoft.com/office/drawing/2014/main" id="{A8D0AF4A-DE04-41BB-A95C-2711A48A4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A0C505" w14:textId="77777777" w:rsidR="009C3FEF" w:rsidRDefault="009C3FEF" w:rsidP="009C3FEF">
      <w:pPr>
        <w:rPr>
          <w:color w:val="FF0000"/>
        </w:rPr>
      </w:pPr>
    </w:p>
    <w:p w14:paraId="24DDA488" w14:textId="58C9D8CD" w:rsidR="002D6627" w:rsidRDefault="00040E5D" w:rsidP="00EA3E4B">
      <w:pPr>
        <w:pStyle w:val="Heading2"/>
      </w:pPr>
      <w:r>
        <w:t xml:space="preserve">Consumer Spending </w:t>
      </w:r>
    </w:p>
    <w:p w14:paraId="74ECB4B8" w14:textId="266686A2" w:rsidR="00670EC5" w:rsidRPr="00670EC5" w:rsidRDefault="00670EC5" w:rsidP="00670EC5"/>
    <w:p w14:paraId="2108D4F0" w14:textId="3E393ED6" w:rsidR="00040E5D" w:rsidRDefault="00670EC5" w:rsidP="00040E5D">
      <w:r>
        <w:rPr>
          <w:noProof/>
        </w:rPr>
        <w:drawing>
          <wp:anchor distT="0" distB="0" distL="114300" distR="114300" simplePos="0" relativeHeight="251684864" behindDoc="1" locked="0" layoutInCell="1" allowOverlap="1" wp14:anchorId="659005C8" wp14:editId="583A4650">
            <wp:simplePos x="0" y="0"/>
            <wp:positionH relativeFrom="margin">
              <wp:align>left</wp:align>
            </wp:positionH>
            <wp:positionV relativeFrom="paragraph">
              <wp:posOffset>6350</wp:posOffset>
            </wp:positionV>
            <wp:extent cx="5117465" cy="2674620"/>
            <wp:effectExtent l="0" t="0" r="6985" b="0"/>
            <wp:wrapTight wrapText="bothSides">
              <wp:wrapPolygon edited="0">
                <wp:start x="0" y="0"/>
                <wp:lineTo x="0" y="21385"/>
                <wp:lineTo x="21549" y="21385"/>
                <wp:lineTo x="2154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117465" cy="2674620"/>
                    </a:xfrm>
                    <a:prstGeom prst="rect">
                      <a:avLst/>
                    </a:prstGeom>
                  </pic:spPr>
                </pic:pic>
              </a:graphicData>
            </a:graphic>
            <wp14:sizeRelH relativeFrom="margin">
              <wp14:pctWidth>0</wp14:pctWidth>
            </wp14:sizeRelH>
            <wp14:sizeRelV relativeFrom="margin">
              <wp14:pctHeight>0</wp14:pctHeight>
            </wp14:sizeRelV>
          </wp:anchor>
        </w:drawing>
      </w:r>
      <w:r w:rsidR="00AA5911">
        <w:t>Credit and debit transactions</w:t>
      </w:r>
      <w:r w:rsidR="003363D4" w:rsidRPr="002B09D0">
        <w:t xml:space="preserve"> data</w:t>
      </w:r>
      <w:r w:rsidR="002F6CE0">
        <w:rPr>
          <w:rStyle w:val="FootnoteReference"/>
        </w:rPr>
        <w:footnoteReference w:id="3"/>
      </w:r>
      <w:r w:rsidR="003363D4" w:rsidRPr="002B09D0">
        <w:t xml:space="preserve"> shows that consumer spending </w:t>
      </w:r>
      <w:r w:rsidR="004A7B7A" w:rsidRPr="002B09D0">
        <w:t>by</w:t>
      </w:r>
      <w:r w:rsidR="003363D4" w:rsidRPr="002B09D0">
        <w:t xml:space="preserve"> Maine</w:t>
      </w:r>
      <w:r w:rsidR="004A7B7A" w:rsidRPr="002B09D0">
        <w:t>rs</w:t>
      </w:r>
      <w:r w:rsidR="003363D4" w:rsidRPr="002B09D0">
        <w:t xml:space="preserve"> as of </w:t>
      </w:r>
      <w:r>
        <w:t>October 11</w:t>
      </w:r>
      <w:r w:rsidRPr="00670EC5">
        <w:rPr>
          <w:vertAlign w:val="superscript"/>
        </w:rPr>
        <w:t>th</w:t>
      </w:r>
      <w:r w:rsidR="003363D4" w:rsidRPr="002B09D0">
        <w:t xml:space="preserve"> is </w:t>
      </w:r>
      <w:r w:rsidR="002B09D0" w:rsidRPr="002B09D0">
        <w:t>4.</w:t>
      </w:r>
      <w:r>
        <w:t>7</w:t>
      </w:r>
      <w:r w:rsidR="003363D4" w:rsidRPr="002B09D0">
        <w:t xml:space="preserve">% </w:t>
      </w:r>
      <w:r w:rsidR="00CA40B4" w:rsidRPr="002B09D0">
        <w:t>below</w:t>
      </w:r>
      <w:r w:rsidR="003363D4" w:rsidRPr="002B09D0">
        <w:t xml:space="preserve"> the average level of spending in January 2020</w:t>
      </w:r>
      <w:r w:rsidR="00CA40B4" w:rsidRPr="002B09D0">
        <w:t>, seasonally adjusted</w:t>
      </w:r>
      <w:r w:rsidR="003363D4" w:rsidRPr="002B09D0">
        <w:t>, compared to -</w:t>
      </w:r>
      <w:r w:rsidR="002B09D0" w:rsidRPr="002B09D0">
        <w:t>3.</w:t>
      </w:r>
      <w:r>
        <w:t>7</w:t>
      </w:r>
      <w:r w:rsidR="003363D4" w:rsidRPr="002B09D0">
        <w:t xml:space="preserve">% nationally. </w:t>
      </w:r>
      <w:r w:rsidR="00C8649D" w:rsidRPr="002B09D0">
        <w:t>Relative recovery in spending</w:t>
      </w:r>
      <w:r w:rsidR="003363D4" w:rsidRPr="002B09D0">
        <w:t xml:space="preserve"> is primarily driven by spending on </w:t>
      </w:r>
      <w:r>
        <w:t>retail and grocery sales, as well as</w:t>
      </w:r>
      <w:r w:rsidR="009A18BF" w:rsidRPr="002B09D0">
        <w:t xml:space="preserve"> spending from</w:t>
      </w:r>
      <w:r w:rsidR="003363D4" w:rsidRPr="002B09D0">
        <w:t xml:space="preserve"> low- and middle-income ZIP codes. </w:t>
      </w:r>
    </w:p>
    <w:p w14:paraId="76B6FAE8" w14:textId="25383ADA" w:rsidR="00EA3E4B" w:rsidRDefault="00EA3E4B" w:rsidP="00040E5D"/>
    <w:p w14:paraId="4EDD89AC" w14:textId="102FF358" w:rsidR="005E3838" w:rsidRDefault="005E3838">
      <w:pPr>
        <w:rPr>
          <w:rFonts w:eastAsiaTheme="majorEastAsia"/>
        </w:rPr>
      </w:pPr>
    </w:p>
    <w:p w14:paraId="38EB3D56" w14:textId="339CE51C" w:rsidR="00CA40B4" w:rsidRDefault="00CA40B4">
      <w:pPr>
        <w:rPr>
          <w:rFonts w:eastAsiaTheme="majorEastAsia"/>
        </w:rPr>
      </w:pPr>
    </w:p>
    <w:p w14:paraId="250E26FC" w14:textId="5FB65D28" w:rsidR="00CA40B4" w:rsidRDefault="00CA40B4" w:rsidP="00005F5A">
      <w:pPr>
        <w:pStyle w:val="Heading1"/>
        <w:pBdr>
          <w:bottom w:val="single" w:sz="4" w:space="1" w:color="auto"/>
        </w:pBdr>
      </w:pPr>
      <w:r>
        <w:t>Trade Outlook</w:t>
      </w:r>
    </w:p>
    <w:p w14:paraId="2C459C9A" w14:textId="09D77B21" w:rsidR="00CA40B4" w:rsidRDefault="00665364" w:rsidP="00CA40B4">
      <w:r w:rsidRPr="00F473E6">
        <w:t xml:space="preserve">In </w:t>
      </w:r>
      <w:r w:rsidR="009946C4" w:rsidRPr="00F473E6">
        <w:t>August</w:t>
      </w:r>
      <w:r w:rsidRPr="00F473E6">
        <w:t xml:space="preserve"> 2020, total exports were down </w:t>
      </w:r>
      <w:r w:rsidR="009946C4" w:rsidRPr="00F473E6">
        <w:t>21.9</w:t>
      </w:r>
      <w:r w:rsidRPr="00F473E6">
        <w:t xml:space="preserve">% in Maine and </w:t>
      </w:r>
      <w:r w:rsidR="00427C03" w:rsidRPr="00F473E6">
        <w:t>1</w:t>
      </w:r>
      <w:r w:rsidR="009946C4" w:rsidRPr="00F473E6">
        <w:t>4.9</w:t>
      </w:r>
      <w:r w:rsidRPr="00F473E6">
        <w:t xml:space="preserve">% nationwide compared to </w:t>
      </w:r>
      <w:r w:rsidR="009946C4" w:rsidRPr="00F473E6">
        <w:t>August</w:t>
      </w:r>
      <w:r w:rsidRPr="00F473E6">
        <w:t xml:space="preserve"> 2019. Maine’s top </w:t>
      </w:r>
      <w:r w:rsidR="00005F5A">
        <w:t>trade</w:t>
      </w:r>
      <w:r w:rsidRPr="00F473E6">
        <w:t xml:space="preserve"> partner was Canada, which accounted for 6</w:t>
      </w:r>
      <w:r w:rsidR="00427C03" w:rsidRPr="00F473E6">
        <w:t>7</w:t>
      </w:r>
      <w:r w:rsidRPr="00F473E6">
        <w:t xml:space="preserve">% of imports and </w:t>
      </w:r>
      <w:r w:rsidR="00427C03" w:rsidRPr="00F473E6">
        <w:t>56</w:t>
      </w:r>
      <w:r w:rsidRPr="00F473E6">
        <w:t>% of exports. Total imports to Maine were valued at $</w:t>
      </w:r>
      <w:r w:rsidR="00F473E6">
        <w:t>380,872,132</w:t>
      </w:r>
      <w:r w:rsidRPr="00F473E6">
        <w:t xml:space="preserve"> while exports totaled $</w:t>
      </w:r>
      <w:r w:rsidR="00F473E6">
        <w:t>241,205,462</w:t>
      </w:r>
      <w:r w:rsidR="00427C03" w:rsidRPr="00F473E6">
        <w:t>.</w:t>
      </w:r>
      <w:r>
        <w:t xml:space="preserve"> </w:t>
      </w:r>
    </w:p>
    <w:p w14:paraId="13D4E509" w14:textId="2692D7C4" w:rsidR="004A4BEE" w:rsidRDefault="009946C4" w:rsidP="00CA40B4">
      <w:r>
        <w:rPr>
          <w:noProof/>
        </w:rPr>
        <mc:AlternateContent>
          <mc:Choice Requires="wpg">
            <w:drawing>
              <wp:anchor distT="0" distB="0" distL="114300" distR="114300" simplePos="0" relativeHeight="251686912" behindDoc="0" locked="0" layoutInCell="1" allowOverlap="1" wp14:anchorId="2F4ADC38" wp14:editId="54FE686A">
                <wp:simplePos x="0" y="0"/>
                <wp:positionH relativeFrom="column">
                  <wp:posOffset>-266700</wp:posOffset>
                </wp:positionH>
                <wp:positionV relativeFrom="paragraph">
                  <wp:posOffset>132715</wp:posOffset>
                </wp:positionV>
                <wp:extent cx="7383780" cy="2590800"/>
                <wp:effectExtent l="0" t="0" r="7620" b="0"/>
                <wp:wrapNone/>
                <wp:docPr id="24" name="Group 1"/>
                <wp:cNvGraphicFramePr/>
                <a:graphic xmlns:a="http://schemas.openxmlformats.org/drawingml/2006/main">
                  <a:graphicData uri="http://schemas.microsoft.com/office/word/2010/wordprocessingGroup">
                    <wpg:wgp>
                      <wpg:cNvGrpSpPr/>
                      <wpg:grpSpPr>
                        <a:xfrm>
                          <a:off x="0" y="0"/>
                          <a:ext cx="7383780" cy="2590800"/>
                          <a:chOff x="0" y="0"/>
                          <a:chExt cx="6896100" cy="3271838"/>
                        </a:xfrm>
                      </wpg:grpSpPr>
                      <wpg:graphicFrame>
                        <wpg:cNvPr id="25" name="Chart 25"/>
                        <wpg:cNvFrPr>
                          <a:graphicFrameLocks/>
                        </wpg:cNvFrPr>
                        <wpg:xfrm>
                          <a:off x="0" y="0"/>
                          <a:ext cx="6896100" cy="3271838"/>
                        </wpg:xfrm>
                        <a:graphic>
                          <a:graphicData uri="http://schemas.openxmlformats.org/drawingml/2006/chart">
                            <c:chart xmlns:c="http://schemas.openxmlformats.org/drawingml/2006/chart" xmlns:r="http://schemas.openxmlformats.org/officeDocument/2006/relationships" r:id="rId25"/>
                          </a:graphicData>
                        </a:graphic>
                      </wpg:graphicFrame>
                      <wps:wsp>
                        <wps:cNvPr id="26" name="Straight Connector 26"/>
                        <wps:cNvCnPr/>
                        <wps:spPr>
                          <a:xfrm flipV="1">
                            <a:off x="699608" y="1876425"/>
                            <a:ext cx="6053937" cy="1"/>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7549EB4" id="Group 1" o:spid="_x0000_s1026" style="position:absolute;margin-left:-21pt;margin-top:10.45pt;width:581.4pt;height:204pt;z-index:251686912;mso-width-relative:margin;mso-height-relative:margin" coordsize="68961,3271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5" o:spid="_x0000_s1027" type="#_x0000_t75" style="position:absolute;left:-56;top:-76;width:69059;height:32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">
                  <v:imagedata r:id="rId29" o:title=""/>
                  <o:lock v:ext="edit" aspectratio="f"/>
                </v:shape>
                <v:line id="Straight Connector 26" o:spid="_x0000_s1028" style="position:absolute;flip:y;visibility:visible;mso-wrap-style:square" from="6996,18764" to="67535,18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" strokecolor="black [3213]" strokeweight="1.75pt">
                  <v:stroke joinstyle="miter"/>
                </v:line>
              </v:group>
            </w:pict>
          </mc:Fallback>
        </mc:AlternateContent>
      </w:r>
    </w:p>
    <w:p w14:paraId="204FEE09" w14:textId="285B77E1" w:rsidR="004A4BEE" w:rsidRDefault="004A4BEE" w:rsidP="00CA40B4"/>
    <w:p w14:paraId="7880CB2F" w14:textId="452D2A13" w:rsidR="004A4BEE" w:rsidRDefault="004A4BEE" w:rsidP="00CA40B4"/>
    <w:p w14:paraId="138CB122" w14:textId="2A7EA074" w:rsidR="004A4BEE" w:rsidRDefault="004A4BEE" w:rsidP="00CA40B4"/>
    <w:p w14:paraId="5A56E0CB" w14:textId="31BF4702" w:rsidR="004A4BEE" w:rsidRDefault="004A4BEE" w:rsidP="00CA40B4"/>
    <w:p w14:paraId="17D77B5B" w14:textId="3A2936C5" w:rsidR="004A4BEE" w:rsidRDefault="004A4BEE" w:rsidP="00CA40B4"/>
    <w:p w14:paraId="723E0A5E" w14:textId="7A6F1136" w:rsidR="004A4BEE" w:rsidRDefault="004A4BEE" w:rsidP="00CA40B4"/>
    <w:p w14:paraId="00F25AC9" w14:textId="7D1EC51F" w:rsidR="00E34862" w:rsidRDefault="00427C03" w:rsidP="009946C4">
      <w:r>
        <w:rPr>
          <w:noProof/>
        </w:rPr>
        <mc:AlternateContent>
          <mc:Choice Requires="wps">
            <w:drawing>
              <wp:anchor distT="0" distB="0" distL="114300" distR="114300" simplePos="0" relativeHeight="251676672" behindDoc="0" locked="0" layoutInCell="1" allowOverlap="1" wp14:anchorId="1F56D267" wp14:editId="000C54A2">
                <wp:simplePos x="0" y="0"/>
                <wp:positionH relativeFrom="column">
                  <wp:posOffset>1292505</wp:posOffset>
                </wp:positionH>
                <wp:positionV relativeFrom="paragraph">
                  <wp:posOffset>151765</wp:posOffset>
                </wp:positionV>
                <wp:extent cx="6206122" cy="1"/>
                <wp:effectExtent l="0" t="0" r="0" b="0"/>
                <wp:wrapNone/>
                <wp:docPr id="35" name="Straight Connector 35"/>
                <wp:cNvGraphicFramePr/>
                <a:graphic xmlns:a="http://schemas.openxmlformats.org/drawingml/2006/main">
                  <a:graphicData uri="http://schemas.microsoft.com/office/word/2010/wordprocessingShape">
                    <wps:wsp>
                      <wps:cNvCnPr/>
                      <wps:spPr>
                        <a:xfrm flipV="1">
                          <a:off x="0" y="0"/>
                          <a:ext cx="6206122" cy="1"/>
                        </a:xfrm>
                        <a:prstGeom prst="line">
                          <a:avLst/>
                        </a:prstGeom>
                        <a:ln w="22225">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A4406" id="Straight Connector 35"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01.75pt,11.95pt" to="590.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" stroked="f" strokeweight="1.75pt">
                <v:stroke joinstyle="miter"/>
              </v:line>
            </w:pict>
          </mc:Fallback>
        </mc:AlternateContent>
      </w:r>
    </w:p>
    <w:p w14:paraId="275550A2" w14:textId="4C1FE668" w:rsidR="00E34862" w:rsidRDefault="00751735" w:rsidP="00C139AE">
      <w:pPr>
        <w:pStyle w:val="Heading1"/>
        <w:numPr>
          <w:ilvl w:val="0"/>
          <w:numId w:val="0"/>
        </w:numPr>
      </w:pPr>
      <w:r>
        <w:rPr>
          <w:noProof/>
        </w:rPr>
        <w:lastRenderedPageBreak/>
        <w:drawing>
          <wp:anchor distT="0" distB="0" distL="114300" distR="114300" simplePos="0" relativeHeight="251687936" behindDoc="1" locked="0" layoutInCell="1" allowOverlap="1" wp14:anchorId="4DC99F00" wp14:editId="30019F33">
            <wp:simplePos x="0" y="0"/>
            <wp:positionH relativeFrom="column">
              <wp:posOffset>411480</wp:posOffset>
            </wp:positionH>
            <wp:positionV relativeFrom="paragraph">
              <wp:posOffset>6350</wp:posOffset>
            </wp:positionV>
            <wp:extent cx="6228049" cy="4434840"/>
            <wp:effectExtent l="0" t="0" r="1905" b="3810"/>
            <wp:wrapTight wrapText="bothSides">
              <wp:wrapPolygon edited="0">
                <wp:start x="0" y="0"/>
                <wp:lineTo x="0" y="21526"/>
                <wp:lineTo x="10836" y="21526"/>
                <wp:lineTo x="21541" y="21526"/>
                <wp:lineTo x="215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28049" cy="4434840"/>
                    </a:xfrm>
                    <a:prstGeom prst="rect">
                      <a:avLst/>
                    </a:prstGeom>
                    <a:noFill/>
                  </pic:spPr>
                </pic:pic>
              </a:graphicData>
            </a:graphic>
          </wp:anchor>
        </w:drawing>
      </w:r>
    </w:p>
    <w:p w14:paraId="058A2958" w14:textId="4C29518B" w:rsidR="00E34862" w:rsidRDefault="00E34862" w:rsidP="00C139AE">
      <w:pPr>
        <w:pStyle w:val="Heading1"/>
        <w:numPr>
          <w:ilvl w:val="0"/>
          <w:numId w:val="0"/>
        </w:numPr>
      </w:pPr>
    </w:p>
    <w:p w14:paraId="3A41A2BE" w14:textId="583D8B90" w:rsidR="00E34862" w:rsidRDefault="00E34862" w:rsidP="00C139AE">
      <w:pPr>
        <w:pStyle w:val="Heading1"/>
        <w:numPr>
          <w:ilvl w:val="0"/>
          <w:numId w:val="0"/>
        </w:numPr>
      </w:pPr>
    </w:p>
    <w:p w14:paraId="0C200D92" w14:textId="15D05230" w:rsidR="00E34862" w:rsidRDefault="00E34862" w:rsidP="00C139AE">
      <w:pPr>
        <w:pStyle w:val="Heading1"/>
        <w:numPr>
          <w:ilvl w:val="0"/>
          <w:numId w:val="0"/>
        </w:numPr>
      </w:pPr>
    </w:p>
    <w:p w14:paraId="20C383F6" w14:textId="36651691" w:rsidR="00E34862" w:rsidRDefault="00E34862" w:rsidP="00E34862"/>
    <w:p w14:paraId="25FB18D1" w14:textId="6FFA6DFF" w:rsidR="00E34862" w:rsidRDefault="00E34862" w:rsidP="00E34862"/>
    <w:p w14:paraId="1E066679" w14:textId="71BEF77F" w:rsidR="00E34862" w:rsidRDefault="00E34862" w:rsidP="00E34862"/>
    <w:p w14:paraId="6F262C49" w14:textId="267DEF1F" w:rsidR="00E34862" w:rsidRDefault="00E34862" w:rsidP="00E34862"/>
    <w:p w14:paraId="484B42D1" w14:textId="0A4F1B81" w:rsidR="00E34862" w:rsidRDefault="00E34862" w:rsidP="00E34862"/>
    <w:p w14:paraId="17DED398" w14:textId="5A683CBE" w:rsidR="00E34862" w:rsidRDefault="00E34862" w:rsidP="00E34862"/>
    <w:p w14:paraId="6BEF2CA6" w14:textId="5190BE29" w:rsidR="00E34862" w:rsidRDefault="00E34862" w:rsidP="00E34862"/>
    <w:p w14:paraId="38DC0D6D" w14:textId="6CFBE2F7" w:rsidR="00E34862" w:rsidRDefault="00E34862" w:rsidP="00E34862"/>
    <w:p w14:paraId="163F0BCE" w14:textId="0BB48ADF" w:rsidR="00E34862" w:rsidRDefault="00E34862" w:rsidP="00E34862"/>
    <w:p w14:paraId="284046DC" w14:textId="77777777" w:rsidR="00E34862" w:rsidRDefault="00E34862" w:rsidP="00E34862"/>
    <w:p w14:paraId="0B87A0BA" w14:textId="77777777" w:rsidR="00E34862" w:rsidRPr="00E34862" w:rsidRDefault="00E34862" w:rsidP="00E34862"/>
    <w:p w14:paraId="6755B6BC" w14:textId="3EE3319F" w:rsidR="00E37CAA" w:rsidRDefault="00E37CAA" w:rsidP="00C139AE">
      <w:pPr>
        <w:pStyle w:val="Heading1"/>
        <w:numPr>
          <w:ilvl w:val="0"/>
          <w:numId w:val="0"/>
        </w:numPr>
      </w:pPr>
      <w:r w:rsidRPr="009A4E56">
        <w:t>Appendix</w:t>
      </w:r>
    </w:p>
    <w:p w14:paraId="7515BDC3" w14:textId="77777777" w:rsidR="009A4E56" w:rsidRPr="009A4E56" w:rsidRDefault="009A4E56" w:rsidP="009A4E56"/>
    <w:p w14:paraId="4E8E7AB5" w14:textId="5D3C249E" w:rsidR="0081389F" w:rsidRPr="00F94DDF" w:rsidRDefault="00F94DDF" w:rsidP="00E37CAA">
      <w:pPr>
        <w:pStyle w:val="Heading2"/>
      </w:pPr>
      <w:r w:rsidRPr="00F94DDF">
        <w:t xml:space="preserve"> </w:t>
      </w:r>
      <w:r w:rsidR="0081389F" w:rsidRPr="00F94DDF">
        <w:t>Data Sources</w:t>
      </w:r>
    </w:p>
    <w:tbl>
      <w:tblPr>
        <w:tblStyle w:val="TableGrid"/>
        <w:tblW w:w="0" w:type="auto"/>
        <w:tblLook w:val="04A0" w:firstRow="1" w:lastRow="0" w:firstColumn="1" w:lastColumn="0" w:noHBand="0" w:noVBand="1"/>
      </w:tblPr>
      <w:tblGrid>
        <w:gridCol w:w="2785"/>
        <w:gridCol w:w="3690"/>
        <w:gridCol w:w="1980"/>
        <w:gridCol w:w="2160"/>
      </w:tblGrid>
      <w:tr w:rsidR="00D869A9" w14:paraId="40065F06" w14:textId="77777777" w:rsidTr="00996222">
        <w:tc>
          <w:tcPr>
            <w:tcW w:w="2785" w:type="dxa"/>
          </w:tcPr>
          <w:p w14:paraId="32A29B91" w14:textId="77777777" w:rsidR="00D869A9" w:rsidRDefault="00D869A9" w:rsidP="001D1AD4">
            <w:pPr>
              <w:rPr>
                <w:b/>
              </w:rPr>
            </w:pPr>
            <w:r>
              <w:rPr>
                <w:b/>
              </w:rPr>
              <w:t>Indicator</w:t>
            </w:r>
          </w:p>
        </w:tc>
        <w:tc>
          <w:tcPr>
            <w:tcW w:w="3690" w:type="dxa"/>
          </w:tcPr>
          <w:p w14:paraId="2336EA1C" w14:textId="07FA654A" w:rsidR="00D869A9" w:rsidRDefault="00D869A9" w:rsidP="001D1AD4">
            <w:pPr>
              <w:rPr>
                <w:b/>
              </w:rPr>
            </w:pPr>
            <w:r>
              <w:rPr>
                <w:b/>
              </w:rPr>
              <w:t>Source</w:t>
            </w:r>
          </w:p>
        </w:tc>
        <w:tc>
          <w:tcPr>
            <w:tcW w:w="1980" w:type="dxa"/>
          </w:tcPr>
          <w:p w14:paraId="0CC0053F" w14:textId="77777777" w:rsidR="00D869A9" w:rsidRDefault="00D869A9" w:rsidP="001D1AD4">
            <w:pPr>
              <w:jc w:val="center"/>
              <w:rPr>
                <w:b/>
              </w:rPr>
            </w:pPr>
            <w:r>
              <w:rPr>
                <w:b/>
              </w:rPr>
              <w:t>Reference Period</w:t>
            </w:r>
          </w:p>
        </w:tc>
        <w:tc>
          <w:tcPr>
            <w:tcW w:w="2160" w:type="dxa"/>
          </w:tcPr>
          <w:p w14:paraId="3D9609E5" w14:textId="77777777" w:rsidR="00D869A9" w:rsidRDefault="00D869A9" w:rsidP="001D1AD4">
            <w:pPr>
              <w:jc w:val="center"/>
              <w:rPr>
                <w:b/>
              </w:rPr>
            </w:pPr>
            <w:r>
              <w:rPr>
                <w:b/>
              </w:rPr>
              <w:t>Release Date</w:t>
            </w:r>
          </w:p>
        </w:tc>
      </w:tr>
      <w:tr w:rsidR="00D869A9" w14:paraId="585A38A6" w14:textId="77777777" w:rsidTr="00996222">
        <w:tc>
          <w:tcPr>
            <w:tcW w:w="2785" w:type="dxa"/>
            <w:vAlign w:val="bottom"/>
          </w:tcPr>
          <w:p w14:paraId="4F7831EF" w14:textId="77777777" w:rsidR="00D869A9" w:rsidRPr="00577084" w:rsidRDefault="00A27DFE" w:rsidP="001D1AD4">
            <w:hyperlink r:id="rId31" w:history="1">
              <w:r w:rsidR="00D869A9" w:rsidRPr="00A47D3D">
                <w:rPr>
                  <w:rStyle w:val="Hyperlink"/>
                </w:rPr>
                <w:t>Population: estimates and percent change</w:t>
              </w:r>
            </w:hyperlink>
          </w:p>
        </w:tc>
        <w:tc>
          <w:tcPr>
            <w:tcW w:w="3690" w:type="dxa"/>
            <w:vAlign w:val="bottom"/>
          </w:tcPr>
          <w:p w14:paraId="512085F9" w14:textId="77777777" w:rsidR="00D869A9" w:rsidRPr="00577084" w:rsidRDefault="00D869A9" w:rsidP="001D1AD4">
            <w:r>
              <w:t xml:space="preserve">Census Bureau – Pop. </w:t>
            </w:r>
            <w:proofErr w:type="spellStart"/>
            <w:r>
              <w:t>Ests</w:t>
            </w:r>
            <w:proofErr w:type="spellEnd"/>
            <w:r>
              <w:t>.</w:t>
            </w:r>
          </w:p>
        </w:tc>
        <w:tc>
          <w:tcPr>
            <w:tcW w:w="1980" w:type="dxa"/>
            <w:vAlign w:val="bottom"/>
          </w:tcPr>
          <w:p w14:paraId="67C08DBA" w14:textId="77777777" w:rsidR="00D869A9" w:rsidRPr="00F271C3" w:rsidRDefault="00D869A9" w:rsidP="001D1AD4">
            <w:pPr>
              <w:jc w:val="center"/>
            </w:pPr>
            <w:r w:rsidRPr="00F271C3">
              <w:t>201</w:t>
            </w:r>
            <w:r>
              <w:t>9</w:t>
            </w:r>
          </w:p>
        </w:tc>
        <w:tc>
          <w:tcPr>
            <w:tcW w:w="2160" w:type="dxa"/>
            <w:vAlign w:val="bottom"/>
          </w:tcPr>
          <w:p w14:paraId="610A0477" w14:textId="77777777" w:rsidR="00D869A9" w:rsidRPr="00F271C3" w:rsidRDefault="00D869A9" w:rsidP="001D1AD4">
            <w:pPr>
              <w:jc w:val="center"/>
            </w:pPr>
            <w:r w:rsidRPr="00F271C3">
              <w:t xml:space="preserve">December </w:t>
            </w:r>
            <w:r>
              <w:t>30</w:t>
            </w:r>
            <w:r w:rsidRPr="00F271C3">
              <w:t>, 20</w:t>
            </w:r>
            <w:r>
              <w:t>19</w:t>
            </w:r>
          </w:p>
        </w:tc>
      </w:tr>
      <w:tr w:rsidR="00D869A9" w14:paraId="35D6E9CD" w14:textId="77777777" w:rsidTr="00996222">
        <w:tc>
          <w:tcPr>
            <w:tcW w:w="2785" w:type="dxa"/>
            <w:vAlign w:val="bottom"/>
          </w:tcPr>
          <w:p w14:paraId="183C15F8" w14:textId="77777777" w:rsidR="00D869A9" w:rsidRPr="00577084" w:rsidRDefault="00A27DFE" w:rsidP="001D1AD4">
            <w:hyperlink r:id="rId32" w:history="1">
              <w:r w:rsidR="00D869A9" w:rsidRPr="00A47D3D">
                <w:rPr>
                  <w:rStyle w:val="Hyperlink"/>
                </w:rPr>
                <w:t>Net migration: total and percent change</w:t>
              </w:r>
            </w:hyperlink>
          </w:p>
        </w:tc>
        <w:tc>
          <w:tcPr>
            <w:tcW w:w="3690" w:type="dxa"/>
            <w:vAlign w:val="bottom"/>
          </w:tcPr>
          <w:p w14:paraId="54238084" w14:textId="77777777" w:rsidR="00D869A9" w:rsidRPr="00577084" w:rsidRDefault="00D869A9" w:rsidP="001D1AD4">
            <w:r>
              <w:t xml:space="preserve">Census Bureau – Pop. </w:t>
            </w:r>
            <w:proofErr w:type="spellStart"/>
            <w:r>
              <w:t>Ests</w:t>
            </w:r>
            <w:proofErr w:type="spellEnd"/>
            <w:r>
              <w:t>.</w:t>
            </w:r>
          </w:p>
        </w:tc>
        <w:tc>
          <w:tcPr>
            <w:tcW w:w="1980" w:type="dxa"/>
            <w:vAlign w:val="bottom"/>
          </w:tcPr>
          <w:p w14:paraId="71063559" w14:textId="77777777" w:rsidR="00D869A9" w:rsidRPr="00F271C3" w:rsidRDefault="00D869A9" w:rsidP="001D1AD4">
            <w:pPr>
              <w:jc w:val="center"/>
            </w:pPr>
            <w:r w:rsidRPr="00F271C3">
              <w:t>201</w:t>
            </w:r>
            <w:r>
              <w:t>9</w:t>
            </w:r>
          </w:p>
        </w:tc>
        <w:tc>
          <w:tcPr>
            <w:tcW w:w="2160" w:type="dxa"/>
            <w:vAlign w:val="bottom"/>
          </w:tcPr>
          <w:p w14:paraId="163978AB" w14:textId="77777777" w:rsidR="00D869A9" w:rsidRPr="00F271C3" w:rsidRDefault="00D869A9" w:rsidP="001D1AD4">
            <w:pPr>
              <w:jc w:val="center"/>
            </w:pPr>
            <w:r>
              <w:t>December 30,</w:t>
            </w:r>
            <w:r w:rsidRPr="00F271C3">
              <w:t xml:space="preserve"> 2019</w:t>
            </w:r>
          </w:p>
        </w:tc>
      </w:tr>
      <w:tr w:rsidR="00D869A9" w14:paraId="3BC027E5" w14:textId="77777777" w:rsidTr="00996222">
        <w:tc>
          <w:tcPr>
            <w:tcW w:w="2785" w:type="dxa"/>
            <w:vAlign w:val="bottom"/>
          </w:tcPr>
          <w:p w14:paraId="10D4215C" w14:textId="77777777" w:rsidR="00D869A9" w:rsidRPr="00577084" w:rsidRDefault="00A27DFE" w:rsidP="001D1AD4">
            <w:hyperlink r:id="rId33" w:history="1">
              <w:r w:rsidR="00D869A9" w:rsidRPr="00A47D3D">
                <w:rPr>
                  <w:rStyle w:val="Hyperlink"/>
                </w:rPr>
                <w:t>Median age</w:t>
              </w:r>
            </w:hyperlink>
          </w:p>
        </w:tc>
        <w:tc>
          <w:tcPr>
            <w:tcW w:w="3690" w:type="dxa"/>
            <w:vAlign w:val="bottom"/>
          </w:tcPr>
          <w:p w14:paraId="35108FA1" w14:textId="77777777" w:rsidR="00D869A9" w:rsidRPr="00577084" w:rsidRDefault="00D869A9" w:rsidP="001D1AD4">
            <w:r>
              <w:t>American Community Survey 1 year</w:t>
            </w:r>
          </w:p>
        </w:tc>
        <w:tc>
          <w:tcPr>
            <w:tcW w:w="1980" w:type="dxa"/>
            <w:vAlign w:val="bottom"/>
          </w:tcPr>
          <w:p w14:paraId="5762D8B9" w14:textId="76A6497A" w:rsidR="00D869A9" w:rsidRPr="00F271C3" w:rsidRDefault="00D869A9" w:rsidP="001D1AD4">
            <w:pPr>
              <w:jc w:val="center"/>
            </w:pPr>
            <w:r w:rsidRPr="00F271C3">
              <w:t>201</w:t>
            </w:r>
            <w:r w:rsidR="008279AC">
              <w:t>9</w:t>
            </w:r>
          </w:p>
        </w:tc>
        <w:tc>
          <w:tcPr>
            <w:tcW w:w="2160" w:type="dxa"/>
            <w:vAlign w:val="bottom"/>
          </w:tcPr>
          <w:p w14:paraId="062104C2" w14:textId="6E4FEF5E" w:rsidR="00D869A9" w:rsidRPr="00F271C3" w:rsidRDefault="00D869A9" w:rsidP="001D1AD4">
            <w:pPr>
              <w:jc w:val="center"/>
            </w:pPr>
            <w:r>
              <w:t xml:space="preserve">September </w:t>
            </w:r>
            <w:r w:rsidR="008279AC">
              <w:t>17</w:t>
            </w:r>
            <w:r>
              <w:t>, 20</w:t>
            </w:r>
            <w:r w:rsidR="008279AC">
              <w:t>20</w:t>
            </w:r>
          </w:p>
        </w:tc>
      </w:tr>
      <w:tr w:rsidR="00D869A9" w14:paraId="0873CF72" w14:textId="77777777" w:rsidTr="00996222">
        <w:tc>
          <w:tcPr>
            <w:tcW w:w="2785" w:type="dxa"/>
            <w:vAlign w:val="bottom"/>
          </w:tcPr>
          <w:p w14:paraId="55C7567B" w14:textId="77777777" w:rsidR="00D869A9" w:rsidRPr="00577084" w:rsidRDefault="00A27DFE" w:rsidP="001D1AD4">
            <w:hyperlink r:id="rId34" w:history="1">
              <w:r w:rsidR="00D869A9" w:rsidRPr="00EC0F27">
                <w:rPr>
                  <w:rStyle w:val="Hyperlink"/>
                </w:rPr>
                <w:t>Educational attainment</w:t>
              </w:r>
            </w:hyperlink>
          </w:p>
        </w:tc>
        <w:tc>
          <w:tcPr>
            <w:tcW w:w="3690" w:type="dxa"/>
            <w:vAlign w:val="bottom"/>
          </w:tcPr>
          <w:p w14:paraId="5B4D81CD" w14:textId="77777777" w:rsidR="00D869A9" w:rsidRPr="00577084" w:rsidRDefault="00D869A9" w:rsidP="001D1AD4">
            <w:r>
              <w:t>Census Bureau – ACS 1-year</w:t>
            </w:r>
          </w:p>
        </w:tc>
        <w:tc>
          <w:tcPr>
            <w:tcW w:w="1980" w:type="dxa"/>
          </w:tcPr>
          <w:p w14:paraId="47797C80" w14:textId="4CBE5756" w:rsidR="00D869A9" w:rsidRPr="00F271C3" w:rsidRDefault="00D869A9" w:rsidP="001D1AD4">
            <w:pPr>
              <w:jc w:val="center"/>
            </w:pPr>
            <w:r w:rsidRPr="00F271C3">
              <w:t>201</w:t>
            </w:r>
            <w:r w:rsidR="008279AC">
              <w:t>9</w:t>
            </w:r>
          </w:p>
        </w:tc>
        <w:tc>
          <w:tcPr>
            <w:tcW w:w="2160" w:type="dxa"/>
            <w:vAlign w:val="bottom"/>
          </w:tcPr>
          <w:p w14:paraId="1AAA0AFA" w14:textId="5977F2D2" w:rsidR="00D869A9" w:rsidRPr="00F271C3" w:rsidRDefault="008279AC" w:rsidP="001D1AD4">
            <w:pPr>
              <w:jc w:val="center"/>
            </w:pPr>
            <w:r>
              <w:t>September 17, 2020</w:t>
            </w:r>
          </w:p>
        </w:tc>
      </w:tr>
      <w:tr w:rsidR="00D869A9" w14:paraId="430CA140" w14:textId="77777777" w:rsidTr="00996222">
        <w:tc>
          <w:tcPr>
            <w:tcW w:w="2785" w:type="dxa"/>
            <w:vAlign w:val="bottom"/>
          </w:tcPr>
          <w:p w14:paraId="5DEA0BD9" w14:textId="77777777" w:rsidR="00D869A9" w:rsidRPr="00577084" w:rsidRDefault="00A27DFE" w:rsidP="001D1AD4">
            <w:hyperlink r:id="rId35" w:history="1">
              <w:r w:rsidR="00D869A9" w:rsidRPr="00EC0F27">
                <w:rPr>
                  <w:rStyle w:val="Hyperlink"/>
                </w:rPr>
                <w:t>Poverty level</w:t>
              </w:r>
            </w:hyperlink>
          </w:p>
        </w:tc>
        <w:tc>
          <w:tcPr>
            <w:tcW w:w="3690" w:type="dxa"/>
            <w:vAlign w:val="bottom"/>
          </w:tcPr>
          <w:p w14:paraId="76D56FF3" w14:textId="77777777" w:rsidR="00D869A9" w:rsidRPr="00577084" w:rsidRDefault="00D869A9" w:rsidP="001D1AD4">
            <w:r>
              <w:t>Census Bureau – ACS 1-year</w:t>
            </w:r>
          </w:p>
        </w:tc>
        <w:tc>
          <w:tcPr>
            <w:tcW w:w="1980" w:type="dxa"/>
          </w:tcPr>
          <w:p w14:paraId="7534C199" w14:textId="46056CD6" w:rsidR="00D869A9" w:rsidRPr="00F271C3" w:rsidRDefault="00D869A9" w:rsidP="001D1AD4">
            <w:pPr>
              <w:jc w:val="center"/>
            </w:pPr>
            <w:r w:rsidRPr="00F271C3">
              <w:t>201</w:t>
            </w:r>
            <w:r w:rsidR="008279AC">
              <w:t>9</w:t>
            </w:r>
          </w:p>
        </w:tc>
        <w:tc>
          <w:tcPr>
            <w:tcW w:w="2160" w:type="dxa"/>
            <w:vAlign w:val="bottom"/>
          </w:tcPr>
          <w:p w14:paraId="03F40265" w14:textId="6A3CC380" w:rsidR="00D869A9" w:rsidRPr="00F271C3" w:rsidRDefault="008279AC" w:rsidP="001D1AD4">
            <w:pPr>
              <w:jc w:val="center"/>
            </w:pPr>
            <w:r>
              <w:t>September 17, 2020</w:t>
            </w:r>
          </w:p>
        </w:tc>
      </w:tr>
      <w:tr w:rsidR="00D869A9" w14:paraId="0D2A977C" w14:textId="77777777" w:rsidTr="00996222">
        <w:tc>
          <w:tcPr>
            <w:tcW w:w="2785" w:type="dxa"/>
            <w:vAlign w:val="bottom"/>
          </w:tcPr>
          <w:p w14:paraId="5692F5CE" w14:textId="77777777" w:rsidR="00D869A9" w:rsidRPr="00577084" w:rsidRDefault="00A27DFE" w:rsidP="001D1AD4">
            <w:hyperlink r:id="rId36" w:history="1">
              <w:r w:rsidR="00D869A9" w:rsidRPr="00EC0F27">
                <w:rPr>
                  <w:rStyle w:val="Hyperlink"/>
                </w:rPr>
                <w:t>Income</w:t>
              </w:r>
            </w:hyperlink>
          </w:p>
        </w:tc>
        <w:tc>
          <w:tcPr>
            <w:tcW w:w="3690" w:type="dxa"/>
            <w:vAlign w:val="bottom"/>
          </w:tcPr>
          <w:p w14:paraId="5EECCCB5" w14:textId="77777777" w:rsidR="00D869A9" w:rsidRPr="00577084" w:rsidRDefault="00D869A9" w:rsidP="001D1AD4">
            <w:r>
              <w:t>Census Bureau – ACS 1-year</w:t>
            </w:r>
          </w:p>
        </w:tc>
        <w:tc>
          <w:tcPr>
            <w:tcW w:w="1980" w:type="dxa"/>
          </w:tcPr>
          <w:p w14:paraId="3D7612AC" w14:textId="341233C7" w:rsidR="00D869A9" w:rsidRPr="00F271C3" w:rsidRDefault="00D869A9" w:rsidP="001D1AD4">
            <w:pPr>
              <w:jc w:val="center"/>
            </w:pPr>
            <w:r w:rsidRPr="00F271C3">
              <w:t>201</w:t>
            </w:r>
            <w:r w:rsidR="008279AC">
              <w:t>9</w:t>
            </w:r>
          </w:p>
        </w:tc>
        <w:tc>
          <w:tcPr>
            <w:tcW w:w="2160" w:type="dxa"/>
            <w:vAlign w:val="bottom"/>
          </w:tcPr>
          <w:p w14:paraId="75B71EEE" w14:textId="7EB7A34D" w:rsidR="00D869A9" w:rsidRPr="00F271C3" w:rsidRDefault="008279AC" w:rsidP="001D1AD4">
            <w:pPr>
              <w:jc w:val="center"/>
            </w:pPr>
            <w:r>
              <w:t>September 17, 2020</w:t>
            </w:r>
          </w:p>
        </w:tc>
      </w:tr>
      <w:tr w:rsidR="00D869A9" w14:paraId="1728319D" w14:textId="77777777" w:rsidTr="00996222">
        <w:tc>
          <w:tcPr>
            <w:tcW w:w="2785" w:type="dxa"/>
            <w:vAlign w:val="bottom"/>
          </w:tcPr>
          <w:p w14:paraId="36022FD0" w14:textId="77777777" w:rsidR="00D869A9" w:rsidRPr="00577084" w:rsidRDefault="00A27DFE" w:rsidP="001D1AD4">
            <w:hyperlink r:id="rId37" w:history="1">
              <w:r w:rsidR="00D869A9" w:rsidRPr="00EC0F27">
                <w:rPr>
                  <w:rStyle w:val="Hyperlink"/>
                </w:rPr>
                <w:t>Per capita personal consumption expenditure</w:t>
              </w:r>
            </w:hyperlink>
            <w:r w:rsidR="00D869A9">
              <w:t xml:space="preserve"> </w:t>
            </w:r>
          </w:p>
        </w:tc>
        <w:tc>
          <w:tcPr>
            <w:tcW w:w="3690" w:type="dxa"/>
            <w:vAlign w:val="bottom"/>
          </w:tcPr>
          <w:p w14:paraId="0CF10825" w14:textId="77777777" w:rsidR="00D869A9" w:rsidRPr="00577084" w:rsidRDefault="00D869A9" w:rsidP="001D1AD4">
            <w:r w:rsidRPr="00B05BB8">
              <w:t>U.S. Bureau of Economic Analysis</w:t>
            </w:r>
          </w:p>
        </w:tc>
        <w:tc>
          <w:tcPr>
            <w:tcW w:w="1980" w:type="dxa"/>
            <w:vAlign w:val="bottom"/>
          </w:tcPr>
          <w:p w14:paraId="15D23528" w14:textId="582C452D" w:rsidR="00D869A9" w:rsidRPr="00F271C3" w:rsidRDefault="00D869A9" w:rsidP="001D1AD4">
            <w:pPr>
              <w:jc w:val="center"/>
            </w:pPr>
            <w:r w:rsidRPr="00F271C3">
              <w:t>201</w:t>
            </w:r>
            <w:r w:rsidR="00A16EED">
              <w:t>9</w:t>
            </w:r>
          </w:p>
        </w:tc>
        <w:tc>
          <w:tcPr>
            <w:tcW w:w="2160" w:type="dxa"/>
            <w:vAlign w:val="bottom"/>
          </w:tcPr>
          <w:p w14:paraId="3C4DFE79" w14:textId="2E62F0CF" w:rsidR="00D869A9" w:rsidRPr="00F271C3" w:rsidRDefault="00D869A9" w:rsidP="001D1AD4">
            <w:pPr>
              <w:jc w:val="center"/>
            </w:pPr>
            <w:r>
              <w:t xml:space="preserve">October </w:t>
            </w:r>
            <w:r w:rsidR="00A16EED">
              <w:t>8</w:t>
            </w:r>
            <w:r>
              <w:t>, 20</w:t>
            </w:r>
            <w:r w:rsidR="00A16EED">
              <w:t>20</w:t>
            </w:r>
          </w:p>
        </w:tc>
      </w:tr>
      <w:tr w:rsidR="00D869A9" w14:paraId="3A98A4F7" w14:textId="77777777" w:rsidTr="00996222">
        <w:tc>
          <w:tcPr>
            <w:tcW w:w="2785" w:type="dxa"/>
            <w:vAlign w:val="bottom"/>
          </w:tcPr>
          <w:p w14:paraId="7C041CB6" w14:textId="77777777" w:rsidR="00D869A9" w:rsidRDefault="00A27DFE" w:rsidP="001D1AD4">
            <w:hyperlink r:id="rId38" w:history="1">
              <w:r w:rsidR="00D869A9" w:rsidRPr="00EC0F27">
                <w:rPr>
                  <w:rStyle w:val="Hyperlink"/>
                </w:rPr>
                <w:t>Per capita personal income</w:t>
              </w:r>
            </w:hyperlink>
          </w:p>
        </w:tc>
        <w:tc>
          <w:tcPr>
            <w:tcW w:w="3690" w:type="dxa"/>
            <w:vAlign w:val="bottom"/>
          </w:tcPr>
          <w:p w14:paraId="44CE79AA" w14:textId="77777777" w:rsidR="00D869A9" w:rsidRPr="00B05BB8" w:rsidRDefault="00D869A9" w:rsidP="001D1AD4">
            <w:r w:rsidRPr="00B05BB8">
              <w:t>U.S. Bureau of Economic Analysis</w:t>
            </w:r>
          </w:p>
        </w:tc>
        <w:tc>
          <w:tcPr>
            <w:tcW w:w="1980" w:type="dxa"/>
            <w:vAlign w:val="bottom"/>
          </w:tcPr>
          <w:p w14:paraId="401E38DD" w14:textId="2AEF34D9" w:rsidR="00D869A9" w:rsidRPr="00F271C3" w:rsidRDefault="009A18BF" w:rsidP="001D1AD4">
            <w:pPr>
              <w:jc w:val="center"/>
            </w:pPr>
            <w:proofErr w:type="gramStart"/>
            <w:r>
              <w:t>2020:Q</w:t>
            </w:r>
            <w:proofErr w:type="gramEnd"/>
            <w:r w:rsidR="008279AC">
              <w:t>2</w:t>
            </w:r>
          </w:p>
        </w:tc>
        <w:tc>
          <w:tcPr>
            <w:tcW w:w="2160" w:type="dxa"/>
            <w:vAlign w:val="bottom"/>
          </w:tcPr>
          <w:p w14:paraId="62784269" w14:textId="313DB7C8" w:rsidR="00D869A9" w:rsidRPr="00F271C3" w:rsidRDefault="008279AC" w:rsidP="001D1AD4">
            <w:pPr>
              <w:jc w:val="center"/>
            </w:pPr>
            <w:r>
              <w:t>September 24, 2020</w:t>
            </w:r>
          </w:p>
        </w:tc>
      </w:tr>
      <w:tr w:rsidR="00D869A9" w14:paraId="2F777F1B" w14:textId="77777777" w:rsidTr="00996222">
        <w:tc>
          <w:tcPr>
            <w:tcW w:w="2785" w:type="dxa"/>
            <w:vAlign w:val="bottom"/>
          </w:tcPr>
          <w:p w14:paraId="0CFD6403" w14:textId="77777777" w:rsidR="00D869A9" w:rsidRDefault="00A27DFE" w:rsidP="001D1AD4">
            <w:hyperlink r:id="rId39" w:history="1">
              <w:r w:rsidR="00D869A9" w:rsidRPr="00EC0F27">
                <w:rPr>
                  <w:rStyle w:val="Hyperlink"/>
                </w:rPr>
                <w:t>Average earnings per job</w:t>
              </w:r>
            </w:hyperlink>
          </w:p>
        </w:tc>
        <w:tc>
          <w:tcPr>
            <w:tcW w:w="3690" w:type="dxa"/>
            <w:vAlign w:val="bottom"/>
          </w:tcPr>
          <w:p w14:paraId="6FF2771E" w14:textId="77777777" w:rsidR="00D869A9" w:rsidRPr="00B05BB8" w:rsidRDefault="00D869A9" w:rsidP="001D1AD4">
            <w:r w:rsidRPr="00B05BB8">
              <w:t>U.S. Bureau of Economic Analysis</w:t>
            </w:r>
          </w:p>
        </w:tc>
        <w:tc>
          <w:tcPr>
            <w:tcW w:w="1980" w:type="dxa"/>
            <w:vAlign w:val="bottom"/>
          </w:tcPr>
          <w:p w14:paraId="43D0A44C" w14:textId="00422EFD" w:rsidR="00D869A9" w:rsidRPr="00F271C3" w:rsidRDefault="00D869A9" w:rsidP="001D1AD4">
            <w:pPr>
              <w:jc w:val="center"/>
            </w:pPr>
            <w:r>
              <w:t>201</w:t>
            </w:r>
            <w:r w:rsidR="00A16EED">
              <w:t>9</w:t>
            </w:r>
          </w:p>
        </w:tc>
        <w:tc>
          <w:tcPr>
            <w:tcW w:w="2160" w:type="dxa"/>
            <w:vAlign w:val="bottom"/>
          </w:tcPr>
          <w:p w14:paraId="363BCEC0" w14:textId="288F575D" w:rsidR="00D869A9" w:rsidRPr="00F271C3" w:rsidRDefault="00D869A9" w:rsidP="001D1AD4">
            <w:pPr>
              <w:jc w:val="center"/>
            </w:pPr>
            <w:r>
              <w:t>September 24, 20</w:t>
            </w:r>
            <w:r w:rsidR="00A16EED">
              <w:t>20</w:t>
            </w:r>
          </w:p>
        </w:tc>
      </w:tr>
      <w:tr w:rsidR="00A24829" w14:paraId="49AAC725" w14:textId="77777777" w:rsidTr="00996222">
        <w:tc>
          <w:tcPr>
            <w:tcW w:w="2785" w:type="dxa"/>
            <w:vAlign w:val="bottom"/>
          </w:tcPr>
          <w:p w14:paraId="7CD4DBBC" w14:textId="4FCE891E" w:rsidR="00A24829" w:rsidRDefault="00A27DFE" w:rsidP="001D1AD4">
            <w:hyperlink r:id="rId40" w:history="1">
              <w:r w:rsidR="00A24829" w:rsidRPr="00A24829">
                <w:rPr>
                  <w:rStyle w:val="Hyperlink"/>
                </w:rPr>
                <w:t>CEFC Forecasts</w:t>
              </w:r>
            </w:hyperlink>
          </w:p>
        </w:tc>
        <w:tc>
          <w:tcPr>
            <w:tcW w:w="3690" w:type="dxa"/>
            <w:vAlign w:val="bottom"/>
          </w:tcPr>
          <w:p w14:paraId="0CFEC22C" w14:textId="108C62A3" w:rsidR="00A24829" w:rsidRPr="00B05BB8" w:rsidRDefault="00A24829" w:rsidP="001D1AD4">
            <w:r>
              <w:t>Consensus Economic Forecasting Commission</w:t>
            </w:r>
          </w:p>
        </w:tc>
        <w:tc>
          <w:tcPr>
            <w:tcW w:w="1980" w:type="dxa"/>
            <w:vAlign w:val="bottom"/>
          </w:tcPr>
          <w:p w14:paraId="246BC3AA" w14:textId="70108C32" w:rsidR="00A24829" w:rsidRDefault="00A24829" w:rsidP="001D1AD4">
            <w:pPr>
              <w:jc w:val="center"/>
            </w:pPr>
            <w:r>
              <w:t>2020-2025</w:t>
            </w:r>
          </w:p>
        </w:tc>
        <w:tc>
          <w:tcPr>
            <w:tcW w:w="2160" w:type="dxa"/>
            <w:vAlign w:val="bottom"/>
          </w:tcPr>
          <w:p w14:paraId="553E14A4" w14:textId="3339D447" w:rsidR="00A24829" w:rsidRDefault="00A24829" w:rsidP="001D1AD4">
            <w:pPr>
              <w:jc w:val="center"/>
            </w:pPr>
            <w:r>
              <w:t>November 1, 2020</w:t>
            </w:r>
          </w:p>
        </w:tc>
      </w:tr>
      <w:tr w:rsidR="00D869A9" w14:paraId="37ABE6EB" w14:textId="77777777" w:rsidTr="00996222">
        <w:tc>
          <w:tcPr>
            <w:tcW w:w="2785" w:type="dxa"/>
            <w:vAlign w:val="bottom"/>
          </w:tcPr>
          <w:p w14:paraId="1654031B" w14:textId="77777777" w:rsidR="00D869A9" w:rsidRPr="00577084" w:rsidRDefault="00A27DFE" w:rsidP="001D1AD4">
            <w:hyperlink r:id="rId41" w:history="1">
              <w:r w:rsidR="00D869A9" w:rsidRPr="00EC0F27">
                <w:rPr>
                  <w:rStyle w:val="Hyperlink"/>
                </w:rPr>
                <w:t>Gross domestic product</w:t>
              </w:r>
            </w:hyperlink>
          </w:p>
        </w:tc>
        <w:tc>
          <w:tcPr>
            <w:tcW w:w="3690" w:type="dxa"/>
            <w:vAlign w:val="bottom"/>
          </w:tcPr>
          <w:p w14:paraId="3007E38C" w14:textId="77777777" w:rsidR="00D869A9" w:rsidRPr="00577084" w:rsidRDefault="00D869A9" w:rsidP="001D1AD4">
            <w:r w:rsidRPr="00B05BB8">
              <w:t>U.S. Bureau of Economic Analysis</w:t>
            </w:r>
          </w:p>
        </w:tc>
        <w:tc>
          <w:tcPr>
            <w:tcW w:w="1980" w:type="dxa"/>
            <w:vAlign w:val="bottom"/>
          </w:tcPr>
          <w:p w14:paraId="39B1494D" w14:textId="02C11CB2" w:rsidR="00D869A9" w:rsidRPr="00F271C3" w:rsidRDefault="00665364" w:rsidP="001D1AD4">
            <w:pPr>
              <w:jc w:val="center"/>
            </w:pPr>
            <w:proofErr w:type="gramStart"/>
            <w:r>
              <w:t>2020:Q</w:t>
            </w:r>
            <w:proofErr w:type="gramEnd"/>
            <w:r w:rsidR="00A16EED">
              <w:t>2</w:t>
            </w:r>
          </w:p>
        </w:tc>
        <w:tc>
          <w:tcPr>
            <w:tcW w:w="2160" w:type="dxa"/>
            <w:vAlign w:val="bottom"/>
          </w:tcPr>
          <w:p w14:paraId="6155E7D6" w14:textId="7A9DAD7C" w:rsidR="00D869A9" w:rsidRPr="00F271C3" w:rsidRDefault="00A16EED" w:rsidP="001D1AD4">
            <w:pPr>
              <w:jc w:val="center"/>
            </w:pPr>
            <w:r>
              <w:t>October 2</w:t>
            </w:r>
            <w:r w:rsidR="00A77AF8">
              <w:t>, 2020</w:t>
            </w:r>
          </w:p>
        </w:tc>
      </w:tr>
      <w:tr w:rsidR="00D869A9" w14:paraId="6E62028C" w14:textId="77777777" w:rsidTr="00996222">
        <w:tc>
          <w:tcPr>
            <w:tcW w:w="2785" w:type="dxa"/>
            <w:vAlign w:val="bottom"/>
          </w:tcPr>
          <w:p w14:paraId="58C6879B" w14:textId="77777777" w:rsidR="00D869A9" w:rsidRDefault="00A27DFE" w:rsidP="001D1AD4">
            <w:hyperlink r:id="rId42" w:history="1">
              <w:proofErr w:type="spellStart"/>
              <w:r w:rsidR="00D869A9" w:rsidRPr="001A4337">
                <w:rPr>
                  <w:rStyle w:val="Hyperlink"/>
                </w:rPr>
                <w:t>GDPNow</w:t>
              </w:r>
              <w:proofErr w:type="spellEnd"/>
            </w:hyperlink>
          </w:p>
        </w:tc>
        <w:tc>
          <w:tcPr>
            <w:tcW w:w="3690" w:type="dxa"/>
            <w:vAlign w:val="bottom"/>
          </w:tcPr>
          <w:p w14:paraId="534D3507" w14:textId="77777777" w:rsidR="00D869A9" w:rsidRPr="00F83079" w:rsidRDefault="00D869A9" w:rsidP="001D1AD4">
            <w:r w:rsidRPr="00F83079">
              <w:t>Atlanta Fed</w:t>
            </w:r>
          </w:p>
        </w:tc>
        <w:tc>
          <w:tcPr>
            <w:tcW w:w="1980" w:type="dxa"/>
            <w:vAlign w:val="bottom"/>
          </w:tcPr>
          <w:p w14:paraId="53F820B6" w14:textId="58AE6CE7" w:rsidR="00D869A9" w:rsidRPr="00F271C3" w:rsidRDefault="009A18BF" w:rsidP="001D1AD4">
            <w:pPr>
              <w:jc w:val="center"/>
            </w:pPr>
            <w:proofErr w:type="gramStart"/>
            <w:r>
              <w:t>2020:Q</w:t>
            </w:r>
            <w:proofErr w:type="gramEnd"/>
            <w:r w:rsidR="00665364">
              <w:t>3</w:t>
            </w:r>
          </w:p>
        </w:tc>
        <w:tc>
          <w:tcPr>
            <w:tcW w:w="2160" w:type="dxa"/>
            <w:vAlign w:val="bottom"/>
          </w:tcPr>
          <w:p w14:paraId="710BD7C8" w14:textId="45586E8C" w:rsidR="00D869A9" w:rsidRPr="00F271C3" w:rsidRDefault="00665364" w:rsidP="001D1AD4">
            <w:pPr>
              <w:jc w:val="center"/>
            </w:pPr>
            <w:r>
              <w:t>August 26, 2020</w:t>
            </w:r>
          </w:p>
        </w:tc>
      </w:tr>
      <w:tr w:rsidR="00D869A9" w14:paraId="1F4BD87E" w14:textId="77777777" w:rsidTr="00996222">
        <w:tc>
          <w:tcPr>
            <w:tcW w:w="2785" w:type="dxa"/>
            <w:vAlign w:val="bottom"/>
          </w:tcPr>
          <w:p w14:paraId="4108AE78" w14:textId="77777777" w:rsidR="00D869A9" w:rsidRDefault="00A27DFE" w:rsidP="001D1AD4">
            <w:hyperlink r:id="rId43" w:history="1">
              <w:r w:rsidR="00D869A9" w:rsidRPr="00EA0E64">
                <w:rPr>
                  <w:rStyle w:val="Hyperlink"/>
                </w:rPr>
                <w:t>GDP-Based Recession Indicator Index</w:t>
              </w:r>
            </w:hyperlink>
          </w:p>
        </w:tc>
        <w:tc>
          <w:tcPr>
            <w:tcW w:w="3690" w:type="dxa"/>
            <w:vAlign w:val="bottom"/>
          </w:tcPr>
          <w:p w14:paraId="051A03F2" w14:textId="77777777" w:rsidR="00D869A9" w:rsidRPr="00B05BB8" w:rsidRDefault="00D869A9" w:rsidP="001D1AD4">
            <w:r w:rsidRPr="005F771C">
              <w:t>Hamilton, James</w:t>
            </w:r>
            <w:r>
              <w:t>/FRED</w:t>
            </w:r>
          </w:p>
        </w:tc>
        <w:tc>
          <w:tcPr>
            <w:tcW w:w="1980" w:type="dxa"/>
            <w:vAlign w:val="bottom"/>
          </w:tcPr>
          <w:p w14:paraId="5215FFEE" w14:textId="7E136025" w:rsidR="00D869A9" w:rsidRPr="00F271C3" w:rsidRDefault="00665364" w:rsidP="001D1AD4">
            <w:pPr>
              <w:jc w:val="center"/>
            </w:pPr>
            <w:proofErr w:type="gramStart"/>
            <w:r>
              <w:t>2020:Q</w:t>
            </w:r>
            <w:proofErr w:type="gramEnd"/>
            <w:r w:rsidR="00751735">
              <w:t>2</w:t>
            </w:r>
          </w:p>
        </w:tc>
        <w:tc>
          <w:tcPr>
            <w:tcW w:w="2160" w:type="dxa"/>
            <w:vAlign w:val="bottom"/>
          </w:tcPr>
          <w:p w14:paraId="31081CF6" w14:textId="22C1E88C" w:rsidR="00D869A9" w:rsidRPr="00F271C3" w:rsidRDefault="00A16EED" w:rsidP="001D1AD4">
            <w:pPr>
              <w:jc w:val="center"/>
            </w:pPr>
            <w:r>
              <w:t>October</w:t>
            </w:r>
            <w:r w:rsidR="00665364">
              <w:t xml:space="preserve"> </w:t>
            </w:r>
            <w:r w:rsidR="009844F4">
              <w:t>30</w:t>
            </w:r>
            <w:r w:rsidR="009A18BF">
              <w:t>, 2020</w:t>
            </w:r>
          </w:p>
        </w:tc>
      </w:tr>
      <w:tr w:rsidR="00D869A9" w14:paraId="035ED974" w14:textId="77777777" w:rsidTr="00996222">
        <w:tc>
          <w:tcPr>
            <w:tcW w:w="2785" w:type="dxa"/>
            <w:vAlign w:val="bottom"/>
          </w:tcPr>
          <w:p w14:paraId="3BBD2C6C" w14:textId="77777777" w:rsidR="00D869A9" w:rsidRDefault="00A27DFE" w:rsidP="001D1AD4">
            <w:hyperlink r:id="rId44" w:history="1">
              <w:r w:rsidR="00D869A9">
                <w:rPr>
                  <w:rStyle w:val="Hyperlink"/>
                </w:rPr>
                <w:t xml:space="preserve">Real-time </w:t>
              </w:r>
              <w:proofErr w:type="spellStart"/>
              <w:r w:rsidR="00D869A9">
                <w:rPr>
                  <w:rStyle w:val="Hyperlink"/>
                </w:rPr>
                <w:t>Sahm</w:t>
              </w:r>
              <w:proofErr w:type="spellEnd"/>
              <w:r w:rsidR="00D869A9">
                <w:rPr>
                  <w:rStyle w:val="Hyperlink"/>
                </w:rPr>
                <w:t xml:space="preserve"> Rule Recession Indicator</w:t>
              </w:r>
            </w:hyperlink>
          </w:p>
        </w:tc>
        <w:tc>
          <w:tcPr>
            <w:tcW w:w="3690" w:type="dxa"/>
            <w:vAlign w:val="bottom"/>
          </w:tcPr>
          <w:p w14:paraId="635DEC1F" w14:textId="77777777" w:rsidR="00D869A9" w:rsidRPr="00B05BB8" w:rsidRDefault="00D869A9" w:rsidP="001D1AD4">
            <w:proofErr w:type="spellStart"/>
            <w:r>
              <w:t>Sahm</w:t>
            </w:r>
            <w:proofErr w:type="spellEnd"/>
            <w:r>
              <w:t>, Claudia/FRED</w:t>
            </w:r>
          </w:p>
        </w:tc>
        <w:tc>
          <w:tcPr>
            <w:tcW w:w="1980" w:type="dxa"/>
            <w:vAlign w:val="bottom"/>
          </w:tcPr>
          <w:p w14:paraId="253846A4" w14:textId="28BC8C09" w:rsidR="00D869A9" w:rsidRPr="00F271C3" w:rsidRDefault="00A16EED" w:rsidP="001D1AD4">
            <w:pPr>
              <w:jc w:val="center"/>
            </w:pPr>
            <w:r>
              <w:t>September</w:t>
            </w:r>
            <w:r w:rsidR="008279AC">
              <w:t xml:space="preserve"> </w:t>
            </w:r>
            <w:r w:rsidR="009A18BF">
              <w:t>2020</w:t>
            </w:r>
          </w:p>
        </w:tc>
        <w:tc>
          <w:tcPr>
            <w:tcW w:w="2160" w:type="dxa"/>
            <w:vAlign w:val="bottom"/>
          </w:tcPr>
          <w:p w14:paraId="7AFAD233" w14:textId="16F68384" w:rsidR="00D869A9" w:rsidRDefault="00A16EED" w:rsidP="001D1AD4">
            <w:pPr>
              <w:jc w:val="center"/>
            </w:pPr>
            <w:r>
              <w:t>October 2</w:t>
            </w:r>
            <w:r w:rsidR="00665364">
              <w:t>, 2020</w:t>
            </w:r>
          </w:p>
        </w:tc>
      </w:tr>
      <w:tr w:rsidR="00D869A9" w14:paraId="26D8F7B4" w14:textId="77777777" w:rsidTr="00996222">
        <w:tc>
          <w:tcPr>
            <w:tcW w:w="2785" w:type="dxa"/>
            <w:vAlign w:val="bottom"/>
          </w:tcPr>
          <w:p w14:paraId="68C8F268" w14:textId="77777777" w:rsidR="00D869A9" w:rsidRPr="00577084" w:rsidRDefault="00A27DFE" w:rsidP="001D1AD4">
            <w:hyperlink r:id="rId45" w:history="1">
              <w:r w:rsidR="00D869A9" w:rsidRPr="00EC0F27">
                <w:rPr>
                  <w:rStyle w:val="Hyperlink"/>
                </w:rPr>
                <w:t>Personal income: total, per capita, and wages and salaries</w:t>
              </w:r>
            </w:hyperlink>
          </w:p>
        </w:tc>
        <w:tc>
          <w:tcPr>
            <w:tcW w:w="3690" w:type="dxa"/>
            <w:vAlign w:val="bottom"/>
          </w:tcPr>
          <w:p w14:paraId="000873A0" w14:textId="77777777" w:rsidR="00D869A9" w:rsidRPr="00E5173D" w:rsidRDefault="00D869A9" w:rsidP="001D1AD4">
            <w:r w:rsidRPr="00B05BB8">
              <w:t>U.S. Bureau of Economic Analysis</w:t>
            </w:r>
          </w:p>
        </w:tc>
        <w:tc>
          <w:tcPr>
            <w:tcW w:w="1980" w:type="dxa"/>
            <w:vAlign w:val="bottom"/>
          </w:tcPr>
          <w:p w14:paraId="5F486D8E" w14:textId="529279E0" w:rsidR="00D869A9" w:rsidRPr="00F271C3" w:rsidRDefault="009A18BF" w:rsidP="001D1AD4">
            <w:pPr>
              <w:jc w:val="center"/>
            </w:pPr>
            <w:proofErr w:type="gramStart"/>
            <w:r>
              <w:t>2020:Q</w:t>
            </w:r>
            <w:proofErr w:type="gramEnd"/>
            <w:r w:rsidR="00444923">
              <w:t>2</w:t>
            </w:r>
          </w:p>
        </w:tc>
        <w:tc>
          <w:tcPr>
            <w:tcW w:w="2160" w:type="dxa"/>
            <w:vAlign w:val="bottom"/>
          </w:tcPr>
          <w:p w14:paraId="789FD5C6" w14:textId="7AB0FEEE" w:rsidR="00D869A9" w:rsidRPr="00F271C3" w:rsidRDefault="00444923" w:rsidP="001D1AD4">
            <w:pPr>
              <w:jc w:val="center"/>
            </w:pPr>
            <w:r>
              <w:t>September 24</w:t>
            </w:r>
            <w:r w:rsidR="009A18BF">
              <w:t>, 2020</w:t>
            </w:r>
          </w:p>
        </w:tc>
      </w:tr>
      <w:tr w:rsidR="00D869A9" w14:paraId="6D702D9B" w14:textId="77777777" w:rsidTr="00996222">
        <w:tc>
          <w:tcPr>
            <w:tcW w:w="2785" w:type="dxa"/>
            <w:vAlign w:val="bottom"/>
          </w:tcPr>
          <w:p w14:paraId="6CA38815" w14:textId="77777777" w:rsidR="00D869A9" w:rsidRPr="00577084" w:rsidRDefault="00A27DFE" w:rsidP="001D1AD4">
            <w:hyperlink r:id="rId46" w:anchor="unemployment" w:history="1">
              <w:r w:rsidR="00D869A9" w:rsidRPr="00EC0F27">
                <w:rPr>
                  <w:rStyle w:val="Hyperlink"/>
                </w:rPr>
                <w:t>Unemployment rate</w:t>
              </w:r>
            </w:hyperlink>
          </w:p>
        </w:tc>
        <w:tc>
          <w:tcPr>
            <w:tcW w:w="3690" w:type="dxa"/>
            <w:vAlign w:val="bottom"/>
          </w:tcPr>
          <w:p w14:paraId="58A889B5" w14:textId="77777777" w:rsidR="00D869A9" w:rsidRPr="00C02138" w:rsidRDefault="00D869A9" w:rsidP="001D1AD4">
            <w:r w:rsidRPr="00C02138">
              <w:t>U.S. Bureau of Labor Statistics</w:t>
            </w:r>
          </w:p>
        </w:tc>
        <w:tc>
          <w:tcPr>
            <w:tcW w:w="1980" w:type="dxa"/>
            <w:vAlign w:val="bottom"/>
          </w:tcPr>
          <w:p w14:paraId="54B7DD2A" w14:textId="0DD50AE6" w:rsidR="00D869A9" w:rsidRPr="00F271C3" w:rsidRDefault="00A16EED" w:rsidP="001D1AD4">
            <w:pPr>
              <w:jc w:val="center"/>
            </w:pPr>
            <w:r>
              <w:t xml:space="preserve">September </w:t>
            </w:r>
            <w:r w:rsidR="009A18BF">
              <w:t>2020</w:t>
            </w:r>
          </w:p>
        </w:tc>
        <w:tc>
          <w:tcPr>
            <w:tcW w:w="2160" w:type="dxa"/>
          </w:tcPr>
          <w:p w14:paraId="2CAC6A21" w14:textId="3AE8FFF4" w:rsidR="00D869A9" w:rsidRPr="009A5703" w:rsidRDefault="00A16EED" w:rsidP="001D1AD4">
            <w:pPr>
              <w:jc w:val="center"/>
            </w:pPr>
            <w:r>
              <w:t>October 20</w:t>
            </w:r>
            <w:r w:rsidR="001C266B">
              <w:t>,</w:t>
            </w:r>
            <w:r w:rsidR="009A18BF">
              <w:t xml:space="preserve"> 2020</w:t>
            </w:r>
          </w:p>
        </w:tc>
      </w:tr>
      <w:tr w:rsidR="00A16EED" w14:paraId="45CF5080" w14:textId="77777777" w:rsidTr="00996222">
        <w:tc>
          <w:tcPr>
            <w:tcW w:w="2785" w:type="dxa"/>
            <w:vAlign w:val="bottom"/>
          </w:tcPr>
          <w:p w14:paraId="0392874D" w14:textId="77777777" w:rsidR="00A16EED" w:rsidRPr="00577084" w:rsidRDefault="00A27DFE" w:rsidP="00A16EED">
            <w:hyperlink r:id="rId47" w:anchor="unemployment" w:history="1">
              <w:r w:rsidR="00A16EED" w:rsidRPr="00EC0F27">
                <w:rPr>
                  <w:rStyle w:val="Hyperlink"/>
                </w:rPr>
                <w:t>Labor force participation</w:t>
              </w:r>
            </w:hyperlink>
          </w:p>
        </w:tc>
        <w:tc>
          <w:tcPr>
            <w:tcW w:w="3690" w:type="dxa"/>
            <w:vAlign w:val="bottom"/>
          </w:tcPr>
          <w:p w14:paraId="275D4F58" w14:textId="77777777" w:rsidR="00A16EED" w:rsidRPr="00C02138" w:rsidRDefault="00A16EED" w:rsidP="00A16EED">
            <w:r w:rsidRPr="00C02138">
              <w:t>U.S. Bureau of Labor Statistics</w:t>
            </w:r>
          </w:p>
        </w:tc>
        <w:tc>
          <w:tcPr>
            <w:tcW w:w="1980" w:type="dxa"/>
            <w:vAlign w:val="bottom"/>
          </w:tcPr>
          <w:p w14:paraId="41B9A98D" w14:textId="637D0546" w:rsidR="00A16EED" w:rsidRPr="00F271C3" w:rsidRDefault="00A16EED" w:rsidP="00A16EED">
            <w:pPr>
              <w:jc w:val="center"/>
            </w:pPr>
            <w:r>
              <w:t>September 2020</w:t>
            </w:r>
          </w:p>
        </w:tc>
        <w:tc>
          <w:tcPr>
            <w:tcW w:w="2160" w:type="dxa"/>
          </w:tcPr>
          <w:p w14:paraId="0AAA641D" w14:textId="0FD9BF48" w:rsidR="00A16EED" w:rsidRPr="009A5703" w:rsidRDefault="00A16EED" w:rsidP="00A16EED">
            <w:pPr>
              <w:jc w:val="center"/>
            </w:pPr>
            <w:r>
              <w:t>October 20, 2020</w:t>
            </w:r>
          </w:p>
        </w:tc>
      </w:tr>
      <w:tr w:rsidR="00A16EED" w14:paraId="4333F226" w14:textId="77777777" w:rsidTr="00351B27">
        <w:tc>
          <w:tcPr>
            <w:tcW w:w="2785" w:type="dxa"/>
            <w:vAlign w:val="bottom"/>
          </w:tcPr>
          <w:p w14:paraId="3D501F88" w14:textId="77777777" w:rsidR="00A16EED" w:rsidRPr="00577084" w:rsidRDefault="00A27DFE" w:rsidP="00A16EED">
            <w:hyperlink r:id="rId48" w:anchor="employment" w:history="1">
              <w:r w:rsidR="00A16EED" w:rsidRPr="00EC0F27">
                <w:rPr>
                  <w:rStyle w:val="Hyperlink"/>
                </w:rPr>
                <w:t>Nonfarm payroll job estimates</w:t>
              </w:r>
            </w:hyperlink>
          </w:p>
        </w:tc>
        <w:tc>
          <w:tcPr>
            <w:tcW w:w="3690" w:type="dxa"/>
            <w:vAlign w:val="bottom"/>
          </w:tcPr>
          <w:p w14:paraId="45D686DD" w14:textId="77777777" w:rsidR="00A16EED" w:rsidRPr="00C02138" w:rsidRDefault="00A16EED" w:rsidP="00A16EED">
            <w:r w:rsidRPr="00C02138">
              <w:t>U.S. Bureau of Labor Statistics</w:t>
            </w:r>
          </w:p>
        </w:tc>
        <w:tc>
          <w:tcPr>
            <w:tcW w:w="1980" w:type="dxa"/>
            <w:vAlign w:val="bottom"/>
          </w:tcPr>
          <w:p w14:paraId="520099AF" w14:textId="27013853" w:rsidR="00A16EED" w:rsidRPr="00F271C3" w:rsidRDefault="00A16EED" w:rsidP="00A16EED">
            <w:pPr>
              <w:jc w:val="center"/>
            </w:pPr>
            <w:r>
              <w:t>September 2020</w:t>
            </w:r>
          </w:p>
        </w:tc>
        <w:tc>
          <w:tcPr>
            <w:tcW w:w="2160" w:type="dxa"/>
          </w:tcPr>
          <w:p w14:paraId="7C14C0C3" w14:textId="5667D6A1" w:rsidR="00A16EED" w:rsidRPr="009A5703" w:rsidRDefault="00A16EED" w:rsidP="00A16EED">
            <w:pPr>
              <w:tabs>
                <w:tab w:val="center" w:pos="972"/>
              </w:tabs>
              <w:jc w:val="center"/>
            </w:pPr>
            <w:r>
              <w:t>October 20, 2020</w:t>
            </w:r>
          </w:p>
        </w:tc>
      </w:tr>
      <w:tr w:rsidR="00D869A9" w14:paraId="51B8642A" w14:textId="77777777" w:rsidTr="00996222">
        <w:tc>
          <w:tcPr>
            <w:tcW w:w="2785" w:type="dxa"/>
            <w:vAlign w:val="bottom"/>
          </w:tcPr>
          <w:p w14:paraId="3ADD78A4" w14:textId="77777777" w:rsidR="00D869A9" w:rsidRPr="00577084" w:rsidRDefault="00A27DFE" w:rsidP="001D1AD4">
            <w:hyperlink r:id="rId49" w:history="1">
              <w:r w:rsidR="00D869A9" w:rsidRPr="00EC0F27">
                <w:rPr>
                  <w:rStyle w:val="Hyperlink"/>
                </w:rPr>
                <w:t>Housing price index</w:t>
              </w:r>
            </w:hyperlink>
          </w:p>
        </w:tc>
        <w:tc>
          <w:tcPr>
            <w:tcW w:w="3690" w:type="dxa"/>
            <w:vAlign w:val="bottom"/>
          </w:tcPr>
          <w:p w14:paraId="5D6A0770" w14:textId="77777777" w:rsidR="00D869A9" w:rsidRPr="00577084" w:rsidRDefault="00D869A9" w:rsidP="001D1AD4">
            <w:r w:rsidRPr="00B05BB8">
              <w:t>Federal Housing Finance Agency</w:t>
            </w:r>
          </w:p>
        </w:tc>
        <w:tc>
          <w:tcPr>
            <w:tcW w:w="1980" w:type="dxa"/>
            <w:vAlign w:val="bottom"/>
          </w:tcPr>
          <w:p w14:paraId="47AC480D" w14:textId="365D11C3" w:rsidR="00D869A9" w:rsidRPr="00F271C3" w:rsidRDefault="00665364" w:rsidP="001D1AD4">
            <w:pPr>
              <w:jc w:val="center"/>
            </w:pPr>
            <w:proofErr w:type="gramStart"/>
            <w:r>
              <w:t>2020:Q</w:t>
            </w:r>
            <w:proofErr w:type="gramEnd"/>
            <w:r>
              <w:t>1</w:t>
            </w:r>
          </w:p>
        </w:tc>
        <w:tc>
          <w:tcPr>
            <w:tcW w:w="2160" w:type="dxa"/>
            <w:vAlign w:val="bottom"/>
          </w:tcPr>
          <w:p w14:paraId="3754F7EF" w14:textId="4C8F28C9" w:rsidR="00D869A9" w:rsidRPr="00F271C3" w:rsidRDefault="00665364" w:rsidP="001D1AD4">
            <w:pPr>
              <w:jc w:val="center"/>
            </w:pPr>
            <w:r>
              <w:t>August 25, 2020</w:t>
            </w:r>
          </w:p>
        </w:tc>
      </w:tr>
      <w:tr w:rsidR="00D869A9" w14:paraId="0B49B156" w14:textId="77777777" w:rsidTr="00996222">
        <w:tc>
          <w:tcPr>
            <w:tcW w:w="2785" w:type="dxa"/>
            <w:vAlign w:val="bottom"/>
          </w:tcPr>
          <w:p w14:paraId="29E77F05" w14:textId="77777777" w:rsidR="00D869A9" w:rsidRDefault="00A27DFE" w:rsidP="001D1AD4">
            <w:hyperlink r:id="rId50" w:history="1">
              <w:r w:rsidR="00D869A9" w:rsidRPr="00C54CC1">
                <w:rPr>
                  <w:rStyle w:val="Hyperlink"/>
                </w:rPr>
                <w:t>Housing: Units and Median Sale Price</w:t>
              </w:r>
            </w:hyperlink>
          </w:p>
        </w:tc>
        <w:tc>
          <w:tcPr>
            <w:tcW w:w="3690" w:type="dxa"/>
            <w:vAlign w:val="bottom"/>
          </w:tcPr>
          <w:p w14:paraId="31009B8A" w14:textId="77777777" w:rsidR="00D869A9" w:rsidRPr="00B05BB8" w:rsidRDefault="00D869A9" w:rsidP="001D1AD4">
            <w:r w:rsidRPr="00C54CC1">
              <w:t>Maine Association of REALTORS®</w:t>
            </w:r>
          </w:p>
        </w:tc>
        <w:tc>
          <w:tcPr>
            <w:tcW w:w="1980" w:type="dxa"/>
            <w:vAlign w:val="bottom"/>
          </w:tcPr>
          <w:p w14:paraId="7F5BC3DD" w14:textId="47B83532" w:rsidR="00D869A9" w:rsidRPr="00F271C3" w:rsidRDefault="00255511" w:rsidP="001D1AD4">
            <w:pPr>
              <w:jc w:val="center"/>
            </w:pPr>
            <w:r>
              <w:t>September</w:t>
            </w:r>
            <w:r w:rsidR="00665364">
              <w:t xml:space="preserve"> 2020</w:t>
            </w:r>
          </w:p>
        </w:tc>
        <w:tc>
          <w:tcPr>
            <w:tcW w:w="2160" w:type="dxa"/>
            <w:vAlign w:val="bottom"/>
          </w:tcPr>
          <w:p w14:paraId="7E75E11A" w14:textId="5735018B" w:rsidR="00D869A9" w:rsidRPr="00F271C3" w:rsidRDefault="00255511" w:rsidP="001D1AD4">
            <w:pPr>
              <w:jc w:val="center"/>
            </w:pPr>
            <w:r>
              <w:t>October</w:t>
            </w:r>
            <w:r w:rsidR="00665364">
              <w:t xml:space="preserve"> 22, 2020</w:t>
            </w:r>
          </w:p>
        </w:tc>
      </w:tr>
      <w:tr w:rsidR="00884A01" w14:paraId="2CC334DC" w14:textId="77777777" w:rsidTr="00996222">
        <w:tc>
          <w:tcPr>
            <w:tcW w:w="2785" w:type="dxa"/>
            <w:vAlign w:val="bottom"/>
          </w:tcPr>
          <w:p w14:paraId="3483D5F6" w14:textId="631FD37D" w:rsidR="00884A01" w:rsidRDefault="00A27DFE" w:rsidP="001D1AD4">
            <w:hyperlink r:id="rId51" w:history="1">
              <w:r w:rsidR="00884A01" w:rsidRPr="00884A01">
                <w:rPr>
                  <w:rStyle w:val="Hyperlink"/>
                </w:rPr>
                <w:t>Index of Consumer Sentiment</w:t>
              </w:r>
            </w:hyperlink>
          </w:p>
        </w:tc>
        <w:tc>
          <w:tcPr>
            <w:tcW w:w="3690" w:type="dxa"/>
            <w:vAlign w:val="bottom"/>
          </w:tcPr>
          <w:p w14:paraId="40B3FDAF" w14:textId="5780F489" w:rsidR="00884A01" w:rsidRDefault="00884A01" w:rsidP="001D1AD4">
            <w:r>
              <w:t>Michigan Survey of Consumers</w:t>
            </w:r>
          </w:p>
        </w:tc>
        <w:tc>
          <w:tcPr>
            <w:tcW w:w="1980" w:type="dxa"/>
            <w:vAlign w:val="bottom"/>
          </w:tcPr>
          <w:p w14:paraId="5417E8B5" w14:textId="1E942D79" w:rsidR="00884A01" w:rsidRDefault="00255511" w:rsidP="001D1AD4">
            <w:pPr>
              <w:jc w:val="center"/>
            </w:pPr>
            <w:r>
              <w:t>October</w:t>
            </w:r>
            <w:r w:rsidR="00996222">
              <w:t xml:space="preserve"> 2020</w:t>
            </w:r>
          </w:p>
        </w:tc>
        <w:tc>
          <w:tcPr>
            <w:tcW w:w="2160" w:type="dxa"/>
            <w:vAlign w:val="bottom"/>
          </w:tcPr>
          <w:p w14:paraId="34474232" w14:textId="29C158A4" w:rsidR="00884A01" w:rsidRDefault="00255511" w:rsidP="001D1AD4">
            <w:pPr>
              <w:jc w:val="center"/>
            </w:pPr>
            <w:r>
              <w:t>October</w:t>
            </w:r>
            <w:r w:rsidR="00996222">
              <w:t xml:space="preserve"> 2020 </w:t>
            </w:r>
          </w:p>
        </w:tc>
      </w:tr>
      <w:tr w:rsidR="00884A01" w14:paraId="5A3ADA60" w14:textId="77777777" w:rsidTr="00996222">
        <w:tc>
          <w:tcPr>
            <w:tcW w:w="2785" w:type="dxa"/>
            <w:vAlign w:val="bottom"/>
          </w:tcPr>
          <w:p w14:paraId="3033E907" w14:textId="648CB344" w:rsidR="00884A01" w:rsidRDefault="00A27DFE" w:rsidP="001D1AD4">
            <w:hyperlink r:id="rId52" w:history="1">
              <w:r w:rsidR="00884A01" w:rsidRPr="00884A01">
                <w:rPr>
                  <w:rStyle w:val="Hyperlink"/>
                </w:rPr>
                <w:t>Small Business Optimism Index</w:t>
              </w:r>
            </w:hyperlink>
          </w:p>
        </w:tc>
        <w:tc>
          <w:tcPr>
            <w:tcW w:w="3690" w:type="dxa"/>
            <w:vAlign w:val="bottom"/>
          </w:tcPr>
          <w:p w14:paraId="527F6FF5" w14:textId="60C210D5" w:rsidR="00884A01" w:rsidRDefault="00884A01" w:rsidP="001D1AD4">
            <w:r>
              <w:t>National Federation of Independent Businesses</w:t>
            </w:r>
          </w:p>
        </w:tc>
        <w:tc>
          <w:tcPr>
            <w:tcW w:w="1980" w:type="dxa"/>
            <w:vAlign w:val="bottom"/>
          </w:tcPr>
          <w:p w14:paraId="7DF6EF9A" w14:textId="499CF2D3" w:rsidR="00884A01" w:rsidRDefault="00255511" w:rsidP="001D1AD4">
            <w:pPr>
              <w:jc w:val="center"/>
            </w:pPr>
            <w:r>
              <w:t>Sep</w:t>
            </w:r>
            <w:r w:rsidR="00A90193">
              <w:t>t</w:t>
            </w:r>
            <w:r>
              <w:t>ember</w:t>
            </w:r>
            <w:r w:rsidR="00996222">
              <w:t xml:space="preserve"> 2020</w:t>
            </w:r>
          </w:p>
        </w:tc>
        <w:tc>
          <w:tcPr>
            <w:tcW w:w="2160" w:type="dxa"/>
            <w:vAlign w:val="bottom"/>
          </w:tcPr>
          <w:p w14:paraId="0552F2D7" w14:textId="6B05E6D4" w:rsidR="00884A01" w:rsidRDefault="00255511" w:rsidP="001D1AD4">
            <w:pPr>
              <w:jc w:val="center"/>
            </w:pPr>
            <w:r>
              <w:t>Octo</w:t>
            </w:r>
            <w:r w:rsidR="00A90193">
              <w:t xml:space="preserve">ber </w:t>
            </w:r>
            <w:r w:rsidR="00996222">
              <w:t>2020</w:t>
            </w:r>
          </w:p>
        </w:tc>
      </w:tr>
      <w:tr w:rsidR="001D1AD4" w14:paraId="26B75E3B" w14:textId="77777777" w:rsidTr="00996222">
        <w:tc>
          <w:tcPr>
            <w:tcW w:w="2785" w:type="dxa"/>
            <w:vAlign w:val="bottom"/>
          </w:tcPr>
          <w:p w14:paraId="5BACAD85" w14:textId="3430B922" w:rsidR="001D1AD4" w:rsidRPr="0010120B" w:rsidRDefault="001D1AD4" w:rsidP="001D1AD4">
            <w:pPr>
              <w:rPr>
                <w:color w:val="auto"/>
              </w:rPr>
            </w:pPr>
            <w:r w:rsidRPr="0010120B">
              <w:rPr>
                <w:color w:val="auto"/>
              </w:rPr>
              <w:t>Vehicle Miles Traveled</w:t>
            </w:r>
          </w:p>
        </w:tc>
        <w:tc>
          <w:tcPr>
            <w:tcW w:w="3690" w:type="dxa"/>
            <w:vAlign w:val="bottom"/>
          </w:tcPr>
          <w:p w14:paraId="0A89BD8F" w14:textId="29797FF7" w:rsidR="001D1AD4" w:rsidRPr="0010120B" w:rsidRDefault="001D1AD4" w:rsidP="001D1AD4">
            <w:pPr>
              <w:rPr>
                <w:color w:val="auto"/>
              </w:rPr>
            </w:pPr>
            <w:r w:rsidRPr="0010120B">
              <w:rPr>
                <w:color w:val="auto"/>
              </w:rPr>
              <w:t>Maine Department of Transportation</w:t>
            </w:r>
          </w:p>
        </w:tc>
        <w:tc>
          <w:tcPr>
            <w:tcW w:w="1980" w:type="dxa"/>
            <w:vAlign w:val="bottom"/>
          </w:tcPr>
          <w:p w14:paraId="6139BC30" w14:textId="66485AC7" w:rsidR="001D1AD4" w:rsidRPr="0010120B" w:rsidRDefault="00255511" w:rsidP="001D1AD4">
            <w:pPr>
              <w:jc w:val="center"/>
              <w:rPr>
                <w:color w:val="auto"/>
              </w:rPr>
            </w:pPr>
            <w:r>
              <w:rPr>
                <w:color w:val="auto"/>
              </w:rPr>
              <w:t>October 24</w:t>
            </w:r>
            <w:r w:rsidR="00996222" w:rsidRPr="0010120B">
              <w:rPr>
                <w:color w:val="auto"/>
              </w:rPr>
              <w:t>, 2020</w:t>
            </w:r>
          </w:p>
        </w:tc>
        <w:tc>
          <w:tcPr>
            <w:tcW w:w="2160" w:type="dxa"/>
            <w:vAlign w:val="bottom"/>
          </w:tcPr>
          <w:p w14:paraId="7EF561D7" w14:textId="123D818F" w:rsidR="001D1AD4" w:rsidRPr="0010120B" w:rsidRDefault="00255511" w:rsidP="001D1AD4">
            <w:pPr>
              <w:jc w:val="center"/>
              <w:rPr>
                <w:color w:val="auto"/>
              </w:rPr>
            </w:pPr>
            <w:r>
              <w:rPr>
                <w:color w:val="auto"/>
              </w:rPr>
              <w:t>October 27</w:t>
            </w:r>
            <w:r w:rsidR="0010120B">
              <w:rPr>
                <w:color w:val="auto"/>
              </w:rPr>
              <w:t>,</w:t>
            </w:r>
            <w:r w:rsidR="00996222" w:rsidRPr="0010120B">
              <w:rPr>
                <w:color w:val="auto"/>
              </w:rPr>
              <w:t xml:space="preserve"> 2020</w:t>
            </w:r>
          </w:p>
        </w:tc>
      </w:tr>
      <w:tr w:rsidR="00996222" w14:paraId="56DC7209" w14:textId="77777777" w:rsidTr="00996222">
        <w:tc>
          <w:tcPr>
            <w:tcW w:w="2785" w:type="dxa"/>
            <w:vAlign w:val="bottom"/>
          </w:tcPr>
          <w:p w14:paraId="11096D46" w14:textId="7A779733" w:rsidR="00996222" w:rsidRDefault="00A27DFE" w:rsidP="001D1AD4">
            <w:hyperlink r:id="rId53" w:history="1">
              <w:r w:rsidR="00996222" w:rsidRPr="003363D4">
                <w:rPr>
                  <w:rStyle w:val="Hyperlink"/>
                </w:rPr>
                <w:t>Consumer Spending</w:t>
              </w:r>
            </w:hyperlink>
          </w:p>
        </w:tc>
        <w:tc>
          <w:tcPr>
            <w:tcW w:w="3690" w:type="dxa"/>
            <w:vAlign w:val="bottom"/>
          </w:tcPr>
          <w:p w14:paraId="31B1D78B" w14:textId="1EC56AA5" w:rsidR="00996222" w:rsidRPr="00971886" w:rsidRDefault="00996222" w:rsidP="001D1AD4">
            <w:pPr>
              <w:rPr>
                <w:highlight w:val="red"/>
              </w:rPr>
            </w:pPr>
            <w:r>
              <w:t xml:space="preserve">Affinity Solutions &amp; Opportunity Insights </w:t>
            </w:r>
          </w:p>
        </w:tc>
        <w:tc>
          <w:tcPr>
            <w:tcW w:w="1980" w:type="dxa"/>
            <w:vAlign w:val="bottom"/>
          </w:tcPr>
          <w:p w14:paraId="0EA6C36B" w14:textId="522C8D81" w:rsidR="00996222" w:rsidRPr="00971886" w:rsidRDefault="00255511" w:rsidP="001D1AD4">
            <w:pPr>
              <w:jc w:val="center"/>
              <w:rPr>
                <w:highlight w:val="red"/>
              </w:rPr>
            </w:pPr>
            <w:r>
              <w:t>October 11</w:t>
            </w:r>
            <w:r w:rsidR="00840F40">
              <w:t>,</w:t>
            </w:r>
            <w:r w:rsidR="00996222">
              <w:t xml:space="preserve"> 2020</w:t>
            </w:r>
          </w:p>
        </w:tc>
        <w:tc>
          <w:tcPr>
            <w:tcW w:w="2160" w:type="dxa"/>
            <w:vAlign w:val="bottom"/>
          </w:tcPr>
          <w:p w14:paraId="2EA3A422" w14:textId="7A09D56B" w:rsidR="00996222" w:rsidRPr="00971886" w:rsidRDefault="00255511" w:rsidP="001D1AD4">
            <w:pPr>
              <w:jc w:val="center"/>
              <w:rPr>
                <w:highlight w:val="red"/>
              </w:rPr>
            </w:pPr>
            <w:r>
              <w:t>Octobe</w:t>
            </w:r>
            <w:r w:rsidR="00840F40">
              <w:t>r</w:t>
            </w:r>
            <w:r w:rsidR="00996222">
              <w:t xml:space="preserve"> 2020</w:t>
            </w:r>
          </w:p>
        </w:tc>
      </w:tr>
      <w:tr w:rsidR="00996222" w14:paraId="243AB1A9" w14:textId="77777777" w:rsidTr="00996222">
        <w:tc>
          <w:tcPr>
            <w:tcW w:w="2785" w:type="dxa"/>
            <w:vAlign w:val="bottom"/>
          </w:tcPr>
          <w:p w14:paraId="22A8B458" w14:textId="4A88C8A1" w:rsidR="00996222" w:rsidRPr="00E6435C" w:rsidRDefault="00A27DFE" w:rsidP="001D1AD4">
            <w:hyperlink r:id="rId54" w:history="1">
              <w:r w:rsidR="00996222" w:rsidRPr="00996222">
                <w:rPr>
                  <w:rStyle w:val="Hyperlink"/>
                </w:rPr>
                <w:t>Imports &amp; Exports</w:t>
              </w:r>
            </w:hyperlink>
          </w:p>
        </w:tc>
        <w:tc>
          <w:tcPr>
            <w:tcW w:w="3690" w:type="dxa"/>
            <w:vAlign w:val="bottom"/>
          </w:tcPr>
          <w:p w14:paraId="3D1B4DAA" w14:textId="4337F148" w:rsidR="00996222" w:rsidRPr="00E6435C" w:rsidRDefault="00996222" w:rsidP="001D1AD4">
            <w:r>
              <w:t>USA Trade Online</w:t>
            </w:r>
          </w:p>
        </w:tc>
        <w:tc>
          <w:tcPr>
            <w:tcW w:w="1980" w:type="dxa"/>
            <w:vAlign w:val="bottom"/>
          </w:tcPr>
          <w:p w14:paraId="5B7F475A" w14:textId="65937064" w:rsidR="00996222" w:rsidRPr="00E6435C" w:rsidRDefault="00255511" w:rsidP="001D1AD4">
            <w:pPr>
              <w:jc w:val="center"/>
            </w:pPr>
            <w:r>
              <w:t>August</w:t>
            </w:r>
            <w:r w:rsidR="00996222">
              <w:t xml:space="preserve"> 2020</w:t>
            </w:r>
          </w:p>
        </w:tc>
        <w:tc>
          <w:tcPr>
            <w:tcW w:w="2160" w:type="dxa"/>
            <w:vAlign w:val="bottom"/>
          </w:tcPr>
          <w:p w14:paraId="3CE1244F" w14:textId="442CC5D7" w:rsidR="00996222" w:rsidRPr="00E6435C" w:rsidRDefault="00840F40" w:rsidP="001D1AD4">
            <w:pPr>
              <w:jc w:val="center"/>
            </w:pPr>
            <w:r>
              <w:t>September</w:t>
            </w:r>
            <w:r w:rsidR="00996222">
              <w:t xml:space="preserve"> </w:t>
            </w:r>
            <w:r w:rsidR="00255511">
              <w:t>6</w:t>
            </w:r>
            <w:r w:rsidR="00996222">
              <w:t>, 2020</w:t>
            </w:r>
          </w:p>
        </w:tc>
      </w:tr>
      <w:tr w:rsidR="00996222" w14:paraId="77D98ABB" w14:textId="77777777" w:rsidTr="00996222">
        <w:tc>
          <w:tcPr>
            <w:tcW w:w="2785" w:type="dxa"/>
            <w:vAlign w:val="bottom"/>
          </w:tcPr>
          <w:p w14:paraId="1ACAD254" w14:textId="520A91B2" w:rsidR="00996222" w:rsidRDefault="00996222" w:rsidP="001D1AD4"/>
        </w:tc>
        <w:tc>
          <w:tcPr>
            <w:tcW w:w="3690" w:type="dxa"/>
            <w:vAlign w:val="bottom"/>
          </w:tcPr>
          <w:p w14:paraId="71F39E07" w14:textId="47F9B7BC" w:rsidR="00996222" w:rsidRDefault="00996222" w:rsidP="001D1AD4"/>
        </w:tc>
        <w:tc>
          <w:tcPr>
            <w:tcW w:w="1980" w:type="dxa"/>
            <w:vAlign w:val="bottom"/>
          </w:tcPr>
          <w:p w14:paraId="2A02779E" w14:textId="1394A139" w:rsidR="00996222" w:rsidRDefault="00996222" w:rsidP="001D1AD4">
            <w:pPr>
              <w:jc w:val="center"/>
            </w:pPr>
          </w:p>
        </w:tc>
        <w:tc>
          <w:tcPr>
            <w:tcW w:w="2160" w:type="dxa"/>
            <w:vAlign w:val="bottom"/>
          </w:tcPr>
          <w:p w14:paraId="3BB3B2A7" w14:textId="67A3D7A4" w:rsidR="00996222" w:rsidRDefault="00996222" w:rsidP="001D1AD4">
            <w:pPr>
              <w:jc w:val="center"/>
            </w:pPr>
          </w:p>
        </w:tc>
      </w:tr>
    </w:tbl>
    <w:p w14:paraId="47C3D585" w14:textId="3704FB20" w:rsidR="00E34862" w:rsidRDefault="00E34862"/>
    <w:p w14:paraId="5522BEE2" w14:textId="77777777" w:rsidR="004D4F08" w:rsidRDefault="004D4F08"/>
    <w:p w14:paraId="03D30D1F" w14:textId="4F07A61B" w:rsidR="008816D4" w:rsidRDefault="0048188B" w:rsidP="00E37CAA">
      <w:pPr>
        <w:pStyle w:val="Heading2"/>
      </w:pPr>
      <w:r>
        <w:t>Glossary</w:t>
      </w:r>
    </w:p>
    <w:p w14:paraId="737C48B3" w14:textId="7C0DD3D4" w:rsidR="0048188B" w:rsidRDefault="0048188B" w:rsidP="008816D4"/>
    <w:p w14:paraId="77690955" w14:textId="77777777" w:rsidR="00131785" w:rsidRDefault="00A27DFE" w:rsidP="00131785">
      <w:hyperlink r:id="rId55" w:history="1">
        <w:r w:rsidR="00131785" w:rsidRPr="001B782D">
          <w:rPr>
            <w:rStyle w:val="Hyperlink"/>
          </w:rPr>
          <w:t>Average earnings per job:</w:t>
        </w:r>
      </w:hyperlink>
      <w:r w:rsidR="00131785">
        <w:t xml:space="preserve"> T</w:t>
      </w:r>
      <w:r w:rsidR="00131785" w:rsidRPr="009A4E56">
        <w:t>otal earnings</w:t>
      </w:r>
      <w:r w:rsidR="00131785">
        <w:t xml:space="preserve">, which is the sum of wages and salaries, supplements to wages and salaries, and proprietors’ income, </w:t>
      </w:r>
      <w:r w:rsidR="00131785" w:rsidRPr="009A4E56">
        <w:t>divided by total full-time and part-time employment.</w:t>
      </w:r>
    </w:p>
    <w:p w14:paraId="1397EB15" w14:textId="77777777" w:rsidR="00131785" w:rsidRPr="00E76322" w:rsidRDefault="00131785" w:rsidP="00131785">
      <w:pPr>
        <w:rPr>
          <w:b/>
          <w:color w:val="auto"/>
        </w:rPr>
      </w:pPr>
      <w:r w:rsidRPr="00E76322">
        <w:rPr>
          <w:b/>
          <w:color w:val="auto"/>
        </w:rPr>
        <w:t xml:space="preserve">Compound Annual Growth Rate: </w:t>
      </w:r>
      <m:oMath>
        <m:r>
          <w:rPr>
            <w:rFonts w:ascii="Cambria Math" w:hAnsi="Cambria Math"/>
            <w:color w:val="auto"/>
          </w:rPr>
          <m:t>=</m:t>
        </m:r>
        <m:sSup>
          <m:sSupPr>
            <m:ctrlPr>
              <w:rPr>
                <w:rFonts w:ascii="Cambria Math" w:hAnsi="Cambria Math"/>
                <w:i/>
                <w:color w:val="auto"/>
              </w:rPr>
            </m:ctrlPr>
          </m:sSupPr>
          <m:e>
            <m:d>
              <m:dPr>
                <m:ctrlPr>
                  <w:rPr>
                    <w:rFonts w:ascii="Cambria Math" w:eastAsiaTheme="minorEastAsia" w:hAnsi="Cambria Math"/>
                    <w:i/>
                    <w:color w:val="auto"/>
                  </w:rPr>
                </m:ctrlPr>
              </m:dPr>
              <m:e>
                <m:f>
                  <m:fPr>
                    <m:ctrlPr>
                      <w:rPr>
                        <w:rFonts w:ascii="Cambria Math" w:eastAsiaTheme="minorEastAsia" w:hAnsi="Cambria Math"/>
                        <w:i/>
                        <w:color w:val="auto"/>
                      </w:rPr>
                    </m:ctrlPr>
                  </m:fPr>
                  <m:num>
                    <m:r>
                      <w:rPr>
                        <w:rFonts w:ascii="Cambria Math" w:eastAsiaTheme="minorEastAsia" w:hAnsi="Cambria Math"/>
                        <w:color w:val="auto"/>
                      </w:rPr>
                      <m:t>Final Value</m:t>
                    </m:r>
                  </m:num>
                  <m:den>
                    <m:r>
                      <w:rPr>
                        <w:rFonts w:ascii="Cambria Math" w:eastAsiaTheme="minorEastAsia" w:hAnsi="Cambria Math"/>
                        <w:color w:val="auto"/>
                      </w:rPr>
                      <m:t>Initial Value</m:t>
                    </m:r>
                  </m:den>
                </m:f>
              </m:e>
            </m:d>
          </m:e>
          <m:sup>
            <m:f>
              <m:fPr>
                <m:ctrlPr>
                  <w:rPr>
                    <w:rFonts w:ascii="Cambria Math" w:hAnsi="Cambria Math"/>
                    <w:i/>
                    <w:color w:val="auto"/>
                  </w:rPr>
                </m:ctrlPr>
              </m:fPr>
              <m:num>
                <m:r>
                  <w:rPr>
                    <w:rFonts w:ascii="Cambria Math" w:hAnsi="Cambria Math"/>
                    <w:color w:val="auto"/>
                  </w:rPr>
                  <m:t>1</m:t>
                </m:r>
              </m:num>
              <m:den>
                <m:r>
                  <w:rPr>
                    <w:rFonts w:ascii="Cambria Math" w:hAnsi="Cambria Math"/>
                    <w:color w:val="auto"/>
                  </w:rPr>
                  <m:t>No.  of Periods</m:t>
                </m:r>
              </m:den>
            </m:f>
          </m:sup>
        </m:sSup>
        <m:r>
          <w:rPr>
            <w:rFonts w:ascii="Cambria Math" w:hAnsi="Cambria Math"/>
            <w:color w:val="auto"/>
          </w:rPr>
          <m:t xml:space="preserve">  -1</m:t>
        </m:r>
      </m:oMath>
    </w:p>
    <w:p w14:paraId="46223901" w14:textId="77777777" w:rsidR="00131785" w:rsidRPr="00592FF2" w:rsidRDefault="00A27DFE" w:rsidP="00131785">
      <w:hyperlink r:id="rId56" w:history="1">
        <w:r w:rsidR="00131785" w:rsidRPr="001B782D">
          <w:rPr>
            <w:rStyle w:val="Hyperlink"/>
          </w:rPr>
          <w:t>Gross Domestic Product</w:t>
        </w:r>
        <w:r w:rsidR="00131785" w:rsidRPr="00BA397B">
          <w:rPr>
            <w:b/>
          </w:rPr>
          <w:t>:</w:t>
        </w:r>
      </w:hyperlink>
      <w:r w:rsidR="00131785">
        <w:rPr>
          <w:b/>
        </w:rPr>
        <w:t xml:space="preserve"> </w:t>
      </w:r>
      <w:r w:rsidR="00131785">
        <w:t>T</w:t>
      </w:r>
      <w:r w:rsidR="00131785" w:rsidRPr="00592FF2">
        <w:t xml:space="preserve">he measure of the market value of all final goods and services produced within a state in a particular </w:t>
      </w:r>
      <w:proofErr w:type="gramStart"/>
      <w:r w:rsidR="00131785" w:rsidRPr="00592FF2">
        <w:t>period of time</w:t>
      </w:r>
      <w:proofErr w:type="gramEnd"/>
      <w:r w:rsidR="00131785" w:rsidRPr="00592FF2">
        <w:t xml:space="preserve">. GDP by state differs from national GDP for the following reasons: GDP by state excludes and national GDP includes the compensation of federal civilian and military personnel stationed abroad and government consumption of fixed capital for military structures located abroad and for military equipment, except office </w:t>
      </w:r>
      <w:r w:rsidR="00131785">
        <w:t xml:space="preserve">equipment. </w:t>
      </w:r>
      <w:r w:rsidR="00131785" w:rsidRPr="00592FF2">
        <w:rPr>
          <w:b/>
          <w:i/>
        </w:rPr>
        <w:t>Real GDP</w:t>
      </w:r>
      <w:r w:rsidR="00131785">
        <w:rPr>
          <w:i/>
        </w:rPr>
        <w:t>:</w:t>
      </w:r>
      <w:r w:rsidR="00131785" w:rsidRPr="00592FF2">
        <w:t xml:space="preserve"> Real GDP by state is an inflation-adjusted measure of each state's gross product that is based on national prices for the goods and services produced within the state. The real estimates of gross domestic product (GDP) by state are measured in chained (2012) dollars</w:t>
      </w:r>
      <w:r w:rsidR="00131785" w:rsidRPr="009A4E56">
        <w:t>.</w:t>
      </w:r>
    </w:p>
    <w:p w14:paraId="29F1B3EE" w14:textId="77777777" w:rsidR="00131785" w:rsidRDefault="00A27DFE" w:rsidP="00131785">
      <w:hyperlink r:id="rId57" w:history="1">
        <w:r w:rsidR="00131785" w:rsidRPr="001B782D">
          <w:rPr>
            <w:rStyle w:val="Hyperlink"/>
          </w:rPr>
          <w:t>Housing Price Index</w:t>
        </w:r>
      </w:hyperlink>
      <w:r w:rsidR="00131785">
        <w:rPr>
          <w:b/>
        </w:rPr>
        <w:t xml:space="preserve">: </w:t>
      </w:r>
      <w:r w:rsidR="00131785">
        <w:t>A</w:t>
      </w:r>
      <w:r w:rsidR="00131785" w:rsidRPr="00B55962">
        <w:t xml:space="preserve"> weighted, repeat-sales index, meaning that it measures average price changes in repeat sales or refin</w:t>
      </w:r>
      <w:r w:rsidR="00131785">
        <w:t>ancing on the same properties</w:t>
      </w:r>
      <w:r w:rsidR="00131785" w:rsidRPr="00B55962">
        <w:t xml:space="preserve">. </w:t>
      </w:r>
    </w:p>
    <w:p w14:paraId="38907FC3" w14:textId="77777777" w:rsidR="00131785" w:rsidRDefault="00A27DFE" w:rsidP="00131785">
      <w:hyperlink r:id="rId58" w:history="1">
        <w:r w:rsidR="00131785" w:rsidRPr="001B782D">
          <w:rPr>
            <w:rStyle w:val="Hyperlink"/>
          </w:rPr>
          <w:t>Labor Force Participation Rate</w:t>
        </w:r>
      </w:hyperlink>
      <w:r w:rsidR="00131785" w:rsidRPr="00BA397B">
        <w:rPr>
          <w:b/>
        </w:rPr>
        <w:t xml:space="preserve">: </w:t>
      </w:r>
      <w:r w:rsidR="00131785" w:rsidRPr="00B55962">
        <w:t>The labor force as a percent of the civil</w:t>
      </w:r>
      <w:r w:rsidR="00131785">
        <w:t>ian noninstitutional population ages 16 years and older.</w:t>
      </w:r>
    </w:p>
    <w:p w14:paraId="1A822E90" w14:textId="77777777" w:rsidR="00131785" w:rsidRDefault="00A27DFE" w:rsidP="00131785">
      <w:hyperlink r:id="rId59" w:anchor="term_Netmigrationrate" w:history="1">
        <w:r w:rsidR="00131785" w:rsidRPr="001B782D">
          <w:rPr>
            <w:rStyle w:val="Hyperlink"/>
          </w:rPr>
          <w:t>Net Migration Rate</w:t>
        </w:r>
      </w:hyperlink>
      <w:r w:rsidR="00131785">
        <w:rPr>
          <w:b/>
        </w:rPr>
        <w:t xml:space="preserve">: </w:t>
      </w:r>
      <w:r w:rsidR="00131785" w:rsidRPr="001B782D">
        <w:t xml:space="preserve">The U.S. </w:t>
      </w:r>
      <w:hyperlink r:id="rId60" w:anchor="term_Netmigrationrate" w:history="1">
        <w:r w:rsidR="00131785" w:rsidRPr="001B782D">
          <w:t>Census Bureau</w:t>
        </w:r>
      </w:hyperlink>
      <w:r w:rsidR="00131785" w:rsidRPr="001C3B5D">
        <w:t xml:space="preserve"> defines </w:t>
      </w:r>
      <w:r w:rsidR="00131785">
        <w:t xml:space="preserve">the </w:t>
      </w:r>
      <w:r w:rsidR="00131785" w:rsidRPr="001C3B5D">
        <w:t>net migration rate as</w:t>
      </w:r>
      <w:r w:rsidR="00131785">
        <w:rPr>
          <w:b/>
        </w:rPr>
        <w:t xml:space="preserve"> t</w:t>
      </w:r>
      <w:r w:rsidR="00131785" w:rsidRPr="001C3B5D">
        <w:t>he difference between the number of migrants entering and those leaving an area in a year, per 1,000 midyear population. May also be expressed in percent. A positive figure is known as a net immigration rate and a negative figure as a net emigration rate.</w:t>
      </w:r>
    </w:p>
    <w:p w14:paraId="0F41122C" w14:textId="77777777" w:rsidR="00131785" w:rsidRDefault="00A27DFE" w:rsidP="00131785">
      <w:hyperlink r:id="rId61" w:history="1">
        <w:r w:rsidR="00131785" w:rsidRPr="001B782D">
          <w:rPr>
            <w:rStyle w:val="Hyperlink"/>
          </w:rPr>
          <w:t>Personal Consumption Expenditures by State</w:t>
        </w:r>
      </w:hyperlink>
      <w:r w:rsidR="00131785" w:rsidRPr="001C3B5D">
        <w:rPr>
          <w:b/>
        </w:rPr>
        <w:t xml:space="preserve">: </w:t>
      </w:r>
      <w:r w:rsidR="00131785" w:rsidRPr="001C3B5D">
        <w:t>A measure of spending on goods and services purchased by, and on behalf of, households based on households' state of residence</w:t>
      </w:r>
      <w:r w:rsidR="00131785">
        <w:t xml:space="preserve"> divided by </w:t>
      </w:r>
      <w:r w:rsidR="00131785" w:rsidRPr="001C3B5D">
        <w:t>the resident population of the area</w:t>
      </w:r>
      <w:r w:rsidR="00131785">
        <w:t>.</w:t>
      </w:r>
    </w:p>
    <w:p w14:paraId="4E62DCE1" w14:textId="77777777" w:rsidR="00131785" w:rsidRDefault="00A27DFE" w:rsidP="00131785">
      <w:hyperlink r:id="rId62" w:history="1">
        <w:r w:rsidR="00131785" w:rsidRPr="001B782D">
          <w:rPr>
            <w:rStyle w:val="Hyperlink"/>
          </w:rPr>
          <w:t>Personal Income</w:t>
        </w:r>
      </w:hyperlink>
      <w:r w:rsidR="00131785" w:rsidRPr="00BA397B">
        <w:rPr>
          <w:b/>
        </w:rPr>
        <w:t>:</w:t>
      </w:r>
      <w:r w:rsidR="00131785">
        <w:t xml:space="preserve"> I</w:t>
      </w:r>
      <w:r w:rsidR="00131785" w:rsidRPr="00592FF2">
        <w:t xml:space="preserve">ncome that persons </w:t>
      </w:r>
      <w:r w:rsidR="00131785">
        <w:t xml:space="preserve">residing in the area </w:t>
      </w:r>
      <w:r w:rsidR="00131785" w:rsidRPr="00592FF2">
        <w:t>receive in return for their provision of labor, land, and capital used in current production as well as other income, such as personal current transfer receipts.</w:t>
      </w:r>
      <w:r w:rsidR="00131785">
        <w:t xml:space="preserve"> </w:t>
      </w:r>
      <w:r w:rsidR="00131785">
        <w:rPr>
          <w:i/>
        </w:rPr>
        <w:t xml:space="preserve">Per capita personal income: </w:t>
      </w:r>
      <w:r w:rsidR="00131785" w:rsidRPr="00592FF2">
        <w:t>The personal income of a given area divided by the resident population of the area</w:t>
      </w:r>
      <w:r w:rsidR="00131785">
        <w:t xml:space="preserve">.  </w:t>
      </w:r>
      <w:r w:rsidR="00131785">
        <w:rPr>
          <w:i/>
        </w:rPr>
        <w:t>Per capita</w:t>
      </w:r>
      <w:r w:rsidR="00131785" w:rsidRPr="00592FF2">
        <w:rPr>
          <w:i/>
        </w:rPr>
        <w:t xml:space="preserve"> </w:t>
      </w:r>
      <w:r w:rsidR="00131785">
        <w:rPr>
          <w:i/>
        </w:rPr>
        <w:t xml:space="preserve">disposable personal income: </w:t>
      </w:r>
      <w:r w:rsidR="00131785" w:rsidRPr="00592FF2">
        <w:t>The income available to persons for spending or saving</w:t>
      </w:r>
      <w:r w:rsidR="00131785">
        <w:t xml:space="preserve"> (</w:t>
      </w:r>
      <w:r w:rsidR="00131785" w:rsidRPr="00592FF2">
        <w:t>personal income less personal current taxes</w:t>
      </w:r>
      <w:r w:rsidR="00131785">
        <w:t>) of a given area divided by the resident population of the area</w:t>
      </w:r>
      <w:r w:rsidR="00131785" w:rsidRPr="009A4E56">
        <w:t>.</w:t>
      </w:r>
    </w:p>
    <w:p w14:paraId="41C074BC" w14:textId="77777777" w:rsidR="00131785" w:rsidRDefault="00A27DFE" w:rsidP="00131785">
      <w:hyperlink r:id="rId63" w:history="1">
        <w:r w:rsidR="00131785" w:rsidRPr="001B782D">
          <w:rPr>
            <w:rStyle w:val="Hyperlink"/>
          </w:rPr>
          <w:t>Poverty Level</w:t>
        </w:r>
      </w:hyperlink>
      <w:r w:rsidR="00131785" w:rsidRPr="00BA397B">
        <w:rPr>
          <w:b/>
        </w:rPr>
        <w:t xml:space="preserve">: </w:t>
      </w:r>
      <w:r w:rsidR="00131785">
        <w:t xml:space="preserve">The U.S. </w:t>
      </w:r>
      <w:hyperlink r:id="rId64" w:history="1">
        <w:r w:rsidR="00131785" w:rsidRPr="001B782D">
          <w:t>Census Bureau</w:t>
        </w:r>
      </w:hyperlink>
      <w:r w:rsidR="00131785" w:rsidRPr="00447C27">
        <w:t xml:space="preserve"> uses a set of money income thresholds that vary by family size and composition to determine who is in poverty. If a family's total income is less than the family's threshold, then that family and every individual in it is considered in poverty.</w:t>
      </w:r>
    </w:p>
    <w:p w14:paraId="0F4B37B4" w14:textId="77777777" w:rsidR="00131785" w:rsidRPr="008816D4" w:rsidRDefault="00A27DFE" w:rsidP="00131785">
      <w:hyperlink r:id="rId65" w:history="1">
        <w:r w:rsidR="00131785" w:rsidRPr="001B782D">
          <w:rPr>
            <w:rStyle w:val="Hyperlink"/>
          </w:rPr>
          <w:t>Real Trade Weighted Value of the Dollar</w:t>
        </w:r>
      </w:hyperlink>
      <w:r w:rsidR="00131785">
        <w:rPr>
          <w:b/>
        </w:rPr>
        <w:t xml:space="preserve">: </w:t>
      </w:r>
      <w:r w:rsidR="00131785">
        <w:t>An</w:t>
      </w:r>
      <w:r w:rsidR="00131785" w:rsidRPr="00962A42">
        <w:t xml:space="preserve"> index </w:t>
      </w:r>
      <w:r w:rsidR="00131785">
        <w:t xml:space="preserve">that </w:t>
      </w:r>
      <w:r w:rsidR="00131785" w:rsidRPr="00962A42">
        <w:t>calculates the inflation-adjusted value of the U.S. dollar against the currencies of countries with which the state trades.</w:t>
      </w:r>
    </w:p>
    <w:p w14:paraId="53A49AFA" w14:textId="77777777" w:rsidR="00131785" w:rsidRPr="00B55962" w:rsidRDefault="00A27DFE" w:rsidP="00131785">
      <w:hyperlink r:id="rId66" w:anchor="term_ExportsTotal" w:history="1">
        <w:r w:rsidR="00131785" w:rsidRPr="001B782D">
          <w:rPr>
            <w:rStyle w:val="Hyperlink"/>
          </w:rPr>
          <w:t>Total merchandise exports</w:t>
        </w:r>
        <w:r w:rsidR="00131785" w:rsidRPr="00BA397B">
          <w:rPr>
            <w:b/>
          </w:rPr>
          <w:t>:</w:t>
        </w:r>
      </w:hyperlink>
      <w:r w:rsidR="00131785">
        <w:t xml:space="preserve"> </w:t>
      </w:r>
      <w:r w:rsidR="00131785" w:rsidRPr="00B55962">
        <w:t>Total exports are calculated by adding domes</w:t>
      </w:r>
      <w:r w:rsidR="00131785">
        <w:t>tic exports (g</w:t>
      </w:r>
      <w:r w:rsidR="00131785" w:rsidRPr="002E2EFC">
        <w:t>oods that are grown, produced, or manufactured in the United States</w:t>
      </w:r>
      <w:r w:rsidR="00131785">
        <w:t>) to foreign exports (</w:t>
      </w:r>
      <w:r w:rsidR="00131785" w:rsidRPr="002E2EFC">
        <w:t>foreign-origin goods that have previously entered the United States, Puerto Rico, or the U.S. Virgin Islands for consumption, entry into a CBP bonded warehouse, or a U.S. </w:t>
      </w:r>
      <w:hyperlink r:id="rId67" w:anchor="term_ForeignTradeZoneFTZ" w:tgtFrame="_top" w:tooltip="Foreign Trade Zone (FTZ)" w:history="1">
        <w:r w:rsidR="00131785" w:rsidRPr="002E2EFC">
          <w:rPr>
            <w:rStyle w:val="Hyperlink"/>
          </w:rPr>
          <w:t>Foreign Trade Zone (FTZ)</w:t>
        </w:r>
      </w:hyperlink>
      <w:r w:rsidR="00131785" w:rsidRPr="002E2EFC">
        <w:t>, and at the time of exportation, have undergone no change in form or condition or enhancement in value by further manufacturing</w:t>
      </w:r>
      <w:r w:rsidR="00131785">
        <w:t>)</w:t>
      </w:r>
      <w:r w:rsidR="00131785" w:rsidRPr="00B55962">
        <w:t>.</w:t>
      </w:r>
    </w:p>
    <w:p w14:paraId="6CDA5790" w14:textId="77777777" w:rsidR="00131785" w:rsidRDefault="00131785" w:rsidP="00131785"/>
    <w:p w14:paraId="0F5E1AFD" w14:textId="77777777" w:rsidR="00131785" w:rsidRDefault="00131785" w:rsidP="00131785"/>
    <w:p w14:paraId="283E1023" w14:textId="77777777" w:rsidR="00131785" w:rsidRDefault="00131785" w:rsidP="00131785"/>
    <w:p w14:paraId="6FFDD957" w14:textId="77777777" w:rsidR="00131785" w:rsidRDefault="00A27DFE" w:rsidP="00131785">
      <w:hyperlink r:id="rId68" w:history="1">
        <w:r w:rsidR="00131785" w:rsidRPr="00353999">
          <w:rPr>
            <w:rStyle w:val="Hyperlink"/>
          </w:rPr>
          <w:t>Total Private nonfarm employment</w:t>
        </w:r>
      </w:hyperlink>
      <w:r w:rsidR="00131785" w:rsidRPr="00BA397B">
        <w:rPr>
          <w:b/>
        </w:rPr>
        <w:t>:</w:t>
      </w:r>
      <w:r w:rsidR="00131785">
        <w:t xml:space="preserve"> Each month Current Employment Statistics (CES) surveys a sample of </w:t>
      </w:r>
      <w:r w:rsidR="00131785" w:rsidRPr="00913489">
        <w:t xml:space="preserve">about 2,700 nonfarm private employers (plus federal, state, and local government employers) in Maine asking them to report the number of jobs, hours, and earnings of workers on their payroll during the week including the 12th day of each month. The sample accounts for just 7% of employers, but 34% of nonfarm jobs in the state because a high share of large employers </w:t>
      </w:r>
      <w:proofErr w:type="gramStart"/>
      <w:r w:rsidR="00131785" w:rsidRPr="00913489">
        <w:t>are</w:t>
      </w:r>
      <w:proofErr w:type="gramEnd"/>
      <w:r w:rsidR="00131785" w:rsidRPr="00913489">
        <w:t xml:space="preserve"> surveyed.</w:t>
      </w:r>
      <w:r w:rsidR="00131785">
        <w:t xml:space="preserve"> </w:t>
      </w:r>
    </w:p>
    <w:p w14:paraId="7887DB82" w14:textId="77777777" w:rsidR="00131785" w:rsidRDefault="00A27DFE" w:rsidP="00131785">
      <w:hyperlink r:id="rId69" w:history="1">
        <w:r w:rsidR="00131785" w:rsidRPr="00353999">
          <w:rPr>
            <w:rStyle w:val="Hyperlink"/>
          </w:rPr>
          <w:t>Unemployment Rate</w:t>
        </w:r>
      </w:hyperlink>
      <w:r w:rsidR="00131785" w:rsidRPr="00BA397B">
        <w:rPr>
          <w:b/>
        </w:rPr>
        <w:t>:</w:t>
      </w:r>
      <w:r w:rsidR="00131785">
        <w:t xml:space="preserve"> Number of unemployed as a percent of the labor force. To be classified as unemployed, p</w:t>
      </w:r>
      <w:r w:rsidR="00131785" w:rsidRPr="009B4205">
        <w:t xml:space="preserve">ersons </w:t>
      </w:r>
      <w:r w:rsidR="00131785">
        <w:t xml:space="preserve">must be </w:t>
      </w:r>
      <w:r w:rsidR="00131785" w:rsidRPr="009B4205">
        <w:t xml:space="preserve">aged 16 years and older </w:t>
      </w:r>
      <w:r w:rsidR="00131785">
        <w:t>with</w:t>
      </w:r>
      <w:r w:rsidR="00131785" w:rsidRPr="009B4205">
        <w:t xml:space="preserve"> no employment during the reference week, were available for work, except for temporary illness, and had made specific efforts to find employment sometime during the 4-week period</w:t>
      </w:r>
      <w:r w:rsidR="00131785">
        <w:t xml:space="preserve"> ending with the reference week.</w:t>
      </w:r>
    </w:p>
    <w:p w14:paraId="0EFD02A4" w14:textId="77777777" w:rsidR="00131785" w:rsidRDefault="00A27DFE" w:rsidP="00131785">
      <w:hyperlink r:id="rId70" w:history="1">
        <w:r w:rsidR="00131785" w:rsidRPr="00353999">
          <w:rPr>
            <w:rStyle w:val="Hyperlink"/>
          </w:rPr>
          <w:t>Wages and Salaries</w:t>
        </w:r>
      </w:hyperlink>
      <w:r w:rsidR="00131785" w:rsidRPr="00BA397B">
        <w:rPr>
          <w:b/>
        </w:rPr>
        <w:t xml:space="preserve">: </w:t>
      </w:r>
      <w:r w:rsidR="00131785">
        <w:t>R</w:t>
      </w:r>
      <w:r w:rsidR="00131785" w:rsidRPr="00592FF2">
        <w:t xml:space="preserve">emuneration receivable by employees (including corporate officers) from employers for </w:t>
      </w:r>
      <w:r w:rsidR="00131785">
        <w:t>the provision of labor services, measured before deductions such as social security contributions, union dues, and voluntary employee contributions to defined contribution pension plans</w:t>
      </w:r>
      <w:r w:rsidR="00131785" w:rsidRPr="009A4E56">
        <w:t>.</w:t>
      </w:r>
    </w:p>
    <w:p w14:paraId="150AB401" w14:textId="6ABABA35" w:rsidR="00962A42" w:rsidRDefault="00962A42" w:rsidP="008816D4"/>
    <w:sectPr w:rsidR="00962A42" w:rsidSect="006B78EF">
      <w:footerReference w:type="default" r:id="rId71"/>
      <w:pgSz w:w="12240" w:h="15840"/>
      <w:pgMar w:top="720" w:right="720" w:bottom="630" w:left="720" w:header="720" w:footer="6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4D40" w14:textId="77777777" w:rsidR="00A27DFE" w:rsidRDefault="00A27DFE" w:rsidP="00D41CAD">
      <w:pPr>
        <w:spacing w:after="0" w:line="240" w:lineRule="auto"/>
      </w:pPr>
      <w:r>
        <w:separator/>
      </w:r>
    </w:p>
  </w:endnote>
  <w:endnote w:type="continuationSeparator" w:id="0">
    <w:p w14:paraId="573BFE02" w14:textId="77777777" w:rsidR="00A27DFE" w:rsidRDefault="00A27DFE" w:rsidP="00D4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333C" w14:textId="72B745CB" w:rsidR="00A27DFE" w:rsidRDefault="00A27DFE">
    <w:pPr>
      <w:pStyle w:val="Footer"/>
    </w:pPr>
    <w:r>
      <w:fldChar w:fldCharType="begin"/>
    </w:r>
    <w:r>
      <w:instrText xml:space="preserve"> TITLE  \* Caps  \* MERGEFORMAT </w:instrText>
    </w:r>
    <w:r>
      <w:fldChar w:fldCharType="end"/>
    </w:r>
    <w:r>
      <w:t>Maine Economic Indicators – October 2020</w:t>
    </w:r>
  </w:p>
  <w:p w14:paraId="340AEB5C" w14:textId="77777777" w:rsidR="00A27DFE" w:rsidRDefault="00A27D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3136" w14:textId="77777777" w:rsidR="00A27DFE" w:rsidRDefault="00A27DFE" w:rsidP="00D41CAD">
      <w:pPr>
        <w:spacing w:after="0" w:line="240" w:lineRule="auto"/>
      </w:pPr>
      <w:r>
        <w:separator/>
      </w:r>
    </w:p>
  </w:footnote>
  <w:footnote w:type="continuationSeparator" w:id="0">
    <w:p w14:paraId="00463DED" w14:textId="77777777" w:rsidR="00A27DFE" w:rsidRDefault="00A27DFE" w:rsidP="00D41CAD">
      <w:pPr>
        <w:spacing w:after="0" w:line="240" w:lineRule="auto"/>
      </w:pPr>
      <w:r>
        <w:continuationSeparator/>
      </w:r>
    </w:p>
  </w:footnote>
  <w:footnote w:id="1">
    <w:p w14:paraId="35EF04A1" w14:textId="1B533004" w:rsidR="00A27DFE" w:rsidRDefault="00A27DFE">
      <w:pPr>
        <w:pStyle w:val="FootnoteText"/>
      </w:pPr>
      <w:r>
        <w:rPr>
          <w:rStyle w:val="FootnoteReference"/>
        </w:rPr>
        <w:footnoteRef/>
      </w:r>
      <w:r>
        <w:t xml:space="preserve"> Created by Dr. James Hamilton, University of California San Diego</w:t>
      </w:r>
    </w:p>
  </w:footnote>
  <w:footnote w:id="2">
    <w:p w14:paraId="2874625A" w14:textId="3FE92EB4" w:rsidR="00A27DFE" w:rsidRDefault="00A27DFE">
      <w:pPr>
        <w:pStyle w:val="FootnoteText"/>
      </w:pPr>
      <w:r>
        <w:rPr>
          <w:rStyle w:val="FootnoteReference"/>
        </w:rPr>
        <w:footnoteRef/>
      </w:r>
      <w:r>
        <w:t xml:space="preserve"> Created by Dr. Claudia </w:t>
      </w:r>
      <w:proofErr w:type="spellStart"/>
      <w:r>
        <w:t>Sahm</w:t>
      </w:r>
      <w:proofErr w:type="spellEnd"/>
      <w:r>
        <w:t>, Federal Reserve Board of Governors</w:t>
      </w:r>
    </w:p>
  </w:footnote>
  <w:footnote w:id="3">
    <w:p w14:paraId="248E65F2" w14:textId="275D05FA" w:rsidR="00A27DFE" w:rsidRDefault="00A27DFE" w:rsidP="002F6CE0">
      <w:r>
        <w:rPr>
          <w:rStyle w:val="FootnoteReference"/>
        </w:rPr>
        <w:footnoteRef/>
      </w:r>
      <w:r>
        <w:t xml:space="preserve"> </w:t>
      </w:r>
      <w:r w:rsidRPr="002B09D0">
        <w:t xml:space="preserve">The Opportunity Insights Economic Tracker compiles credit and debit card spending to measure overall consumer spending in all states in the U.S. Note that this data collates spending by cardholders based in Maine, not by location of the transaction.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3765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36193">
      <o:colormru v:ext="edit" colors="#dceaf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694"/>
    <w:rsid w:val="0000045B"/>
    <w:rsid w:val="00002AE5"/>
    <w:rsid w:val="00005F5A"/>
    <w:rsid w:val="000120E0"/>
    <w:rsid w:val="00012293"/>
    <w:rsid w:val="000144E6"/>
    <w:rsid w:val="00015455"/>
    <w:rsid w:val="000162B7"/>
    <w:rsid w:val="00017E39"/>
    <w:rsid w:val="00020857"/>
    <w:rsid w:val="00020E96"/>
    <w:rsid w:val="00021EB2"/>
    <w:rsid w:val="00023171"/>
    <w:rsid w:val="000270FE"/>
    <w:rsid w:val="00030B24"/>
    <w:rsid w:val="00033E8C"/>
    <w:rsid w:val="00035DD7"/>
    <w:rsid w:val="000369BE"/>
    <w:rsid w:val="00036F5B"/>
    <w:rsid w:val="00040E5D"/>
    <w:rsid w:val="0004161D"/>
    <w:rsid w:val="00041DD0"/>
    <w:rsid w:val="000424A7"/>
    <w:rsid w:val="000428AA"/>
    <w:rsid w:val="00050E2B"/>
    <w:rsid w:val="00054D38"/>
    <w:rsid w:val="000556B5"/>
    <w:rsid w:val="00060DCA"/>
    <w:rsid w:val="00060EC2"/>
    <w:rsid w:val="0006162E"/>
    <w:rsid w:val="00063D33"/>
    <w:rsid w:val="000654F3"/>
    <w:rsid w:val="000660E4"/>
    <w:rsid w:val="0007139A"/>
    <w:rsid w:val="00071837"/>
    <w:rsid w:val="000744AC"/>
    <w:rsid w:val="00074512"/>
    <w:rsid w:val="00076004"/>
    <w:rsid w:val="00084FC8"/>
    <w:rsid w:val="000866B9"/>
    <w:rsid w:val="00091F21"/>
    <w:rsid w:val="00092D0D"/>
    <w:rsid w:val="00093EB0"/>
    <w:rsid w:val="00094D49"/>
    <w:rsid w:val="00097E73"/>
    <w:rsid w:val="000A0105"/>
    <w:rsid w:val="000A5BBC"/>
    <w:rsid w:val="000A6838"/>
    <w:rsid w:val="000A72C9"/>
    <w:rsid w:val="000B0EF2"/>
    <w:rsid w:val="000B114B"/>
    <w:rsid w:val="000B3E39"/>
    <w:rsid w:val="000B44E0"/>
    <w:rsid w:val="000B4C2D"/>
    <w:rsid w:val="000B6A86"/>
    <w:rsid w:val="000B7AD9"/>
    <w:rsid w:val="000C0B5D"/>
    <w:rsid w:val="000C0DA7"/>
    <w:rsid w:val="000C5361"/>
    <w:rsid w:val="000C5677"/>
    <w:rsid w:val="000C7726"/>
    <w:rsid w:val="000C7A15"/>
    <w:rsid w:val="000C7B33"/>
    <w:rsid w:val="000D05DE"/>
    <w:rsid w:val="000D31DE"/>
    <w:rsid w:val="000D3CBC"/>
    <w:rsid w:val="000D3D1A"/>
    <w:rsid w:val="000D6CF5"/>
    <w:rsid w:val="000D7752"/>
    <w:rsid w:val="000D7E5E"/>
    <w:rsid w:val="000E2C88"/>
    <w:rsid w:val="000E4211"/>
    <w:rsid w:val="000E7976"/>
    <w:rsid w:val="000F120C"/>
    <w:rsid w:val="000F1637"/>
    <w:rsid w:val="000F2150"/>
    <w:rsid w:val="000F5D73"/>
    <w:rsid w:val="000F7467"/>
    <w:rsid w:val="001003A0"/>
    <w:rsid w:val="0010120B"/>
    <w:rsid w:val="0010365B"/>
    <w:rsid w:val="00104C95"/>
    <w:rsid w:val="0011369F"/>
    <w:rsid w:val="0011412C"/>
    <w:rsid w:val="00114972"/>
    <w:rsid w:val="00114AD3"/>
    <w:rsid w:val="00116785"/>
    <w:rsid w:val="00117883"/>
    <w:rsid w:val="0012273A"/>
    <w:rsid w:val="00123370"/>
    <w:rsid w:val="00131785"/>
    <w:rsid w:val="0013269C"/>
    <w:rsid w:val="00135165"/>
    <w:rsid w:val="00136E50"/>
    <w:rsid w:val="00141577"/>
    <w:rsid w:val="00141A49"/>
    <w:rsid w:val="00142DA4"/>
    <w:rsid w:val="00143930"/>
    <w:rsid w:val="00144736"/>
    <w:rsid w:val="00145135"/>
    <w:rsid w:val="00147482"/>
    <w:rsid w:val="00151964"/>
    <w:rsid w:val="00152EF4"/>
    <w:rsid w:val="00153F75"/>
    <w:rsid w:val="00154D75"/>
    <w:rsid w:val="0015513A"/>
    <w:rsid w:val="001603D4"/>
    <w:rsid w:val="0016195C"/>
    <w:rsid w:val="00164871"/>
    <w:rsid w:val="00164BDB"/>
    <w:rsid w:val="00165B29"/>
    <w:rsid w:val="0016709A"/>
    <w:rsid w:val="00167BB0"/>
    <w:rsid w:val="0017133F"/>
    <w:rsid w:val="001714E1"/>
    <w:rsid w:val="0017181B"/>
    <w:rsid w:val="0017481B"/>
    <w:rsid w:val="00174F93"/>
    <w:rsid w:val="00180CE9"/>
    <w:rsid w:val="00180F98"/>
    <w:rsid w:val="001838C4"/>
    <w:rsid w:val="00184157"/>
    <w:rsid w:val="00184E37"/>
    <w:rsid w:val="001862B0"/>
    <w:rsid w:val="00191BFE"/>
    <w:rsid w:val="00192B49"/>
    <w:rsid w:val="00194DEC"/>
    <w:rsid w:val="0019524A"/>
    <w:rsid w:val="0019623E"/>
    <w:rsid w:val="0019784F"/>
    <w:rsid w:val="001A10E2"/>
    <w:rsid w:val="001A276B"/>
    <w:rsid w:val="001A4337"/>
    <w:rsid w:val="001A5EB8"/>
    <w:rsid w:val="001B1576"/>
    <w:rsid w:val="001B4DA2"/>
    <w:rsid w:val="001B50E3"/>
    <w:rsid w:val="001B782D"/>
    <w:rsid w:val="001C266B"/>
    <w:rsid w:val="001C2AB4"/>
    <w:rsid w:val="001C2BCB"/>
    <w:rsid w:val="001C39DD"/>
    <w:rsid w:val="001C3B5D"/>
    <w:rsid w:val="001C4113"/>
    <w:rsid w:val="001C5F70"/>
    <w:rsid w:val="001C7ABC"/>
    <w:rsid w:val="001D056C"/>
    <w:rsid w:val="001D1157"/>
    <w:rsid w:val="001D1AD4"/>
    <w:rsid w:val="001D3B3D"/>
    <w:rsid w:val="001D4B63"/>
    <w:rsid w:val="001D4C6B"/>
    <w:rsid w:val="001D5FFD"/>
    <w:rsid w:val="001D6932"/>
    <w:rsid w:val="001D6B3E"/>
    <w:rsid w:val="001D788C"/>
    <w:rsid w:val="001D7954"/>
    <w:rsid w:val="001E06AF"/>
    <w:rsid w:val="001E25FA"/>
    <w:rsid w:val="001E2AE0"/>
    <w:rsid w:val="001E3A44"/>
    <w:rsid w:val="001E474A"/>
    <w:rsid w:val="001E4C0B"/>
    <w:rsid w:val="001E5072"/>
    <w:rsid w:val="001E553E"/>
    <w:rsid w:val="001F41B3"/>
    <w:rsid w:val="001F47C3"/>
    <w:rsid w:val="002009A0"/>
    <w:rsid w:val="00200E4D"/>
    <w:rsid w:val="002031BE"/>
    <w:rsid w:val="002033EB"/>
    <w:rsid w:val="00205298"/>
    <w:rsid w:val="002068C7"/>
    <w:rsid w:val="00206EA4"/>
    <w:rsid w:val="00207950"/>
    <w:rsid w:val="0021036D"/>
    <w:rsid w:val="00210AEB"/>
    <w:rsid w:val="00211C36"/>
    <w:rsid w:val="00212BF4"/>
    <w:rsid w:val="00213560"/>
    <w:rsid w:val="00217BFC"/>
    <w:rsid w:val="002205E2"/>
    <w:rsid w:val="002208B4"/>
    <w:rsid w:val="00221863"/>
    <w:rsid w:val="002222E3"/>
    <w:rsid w:val="00222FDC"/>
    <w:rsid w:val="00223E4A"/>
    <w:rsid w:val="002262FC"/>
    <w:rsid w:val="002274F3"/>
    <w:rsid w:val="002341CB"/>
    <w:rsid w:val="002351E9"/>
    <w:rsid w:val="00237625"/>
    <w:rsid w:val="00237DF5"/>
    <w:rsid w:val="00240F11"/>
    <w:rsid w:val="002419B1"/>
    <w:rsid w:val="002441DB"/>
    <w:rsid w:val="00247345"/>
    <w:rsid w:val="002507FC"/>
    <w:rsid w:val="00251440"/>
    <w:rsid w:val="00251FD1"/>
    <w:rsid w:val="0025222E"/>
    <w:rsid w:val="00253385"/>
    <w:rsid w:val="002538F8"/>
    <w:rsid w:val="0025408A"/>
    <w:rsid w:val="00255511"/>
    <w:rsid w:val="002560DB"/>
    <w:rsid w:val="0025641F"/>
    <w:rsid w:val="00260D16"/>
    <w:rsid w:val="00262E34"/>
    <w:rsid w:val="002644EF"/>
    <w:rsid w:val="0026463D"/>
    <w:rsid w:val="00266C02"/>
    <w:rsid w:val="002670D8"/>
    <w:rsid w:val="00272651"/>
    <w:rsid w:val="00272708"/>
    <w:rsid w:val="00275700"/>
    <w:rsid w:val="00275C0B"/>
    <w:rsid w:val="00276EEE"/>
    <w:rsid w:val="00277512"/>
    <w:rsid w:val="00277678"/>
    <w:rsid w:val="00277931"/>
    <w:rsid w:val="00281568"/>
    <w:rsid w:val="00281A37"/>
    <w:rsid w:val="00282A61"/>
    <w:rsid w:val="00282C93"/>
    <w:rsid w:val="002840F9"/>
    <w:rsid w:val="00285939"/>
    <w:rsid w:val="002865E2"/>
    <w:rsid w:val="00291E14"/>
    <w:rsid w:val="00293FD4"/>
    <w:rsid w:val="0029461F"/>
    <w:rsid w:val="00295804"/>
    <w:rsid w:val="002958C5"/>
    <w:rsid w:val="002964E6"/>
    <w:rsid w:val="00296716"/>
    <w:rsid w:val="002A12CB"/>
    <w:rsid w:val="002A135B"/>
    <w:rsid w:val="002A15A9"/>
    <w:rsid w:val="002A5100"/>
    <w:rsid w:val="002B09D0"/>
    <w:rsid w:val="002B15A3"/>
    <w:rsid w:val="002B2932"/>
    <w:rsid w:val="002B4DD7"/>
    <w:rsid w:val="002B4F68"/>
    <w:rsid w:val="002B7A51"/>
    <w:rsid w:val="002B7B96"/>
    <w:rsid w:val="002C0C4B"/>
    <w:rsid w:val="002C2A23"/>
    <w:rsid w:val="002C3113"/>
    <w:rsid w:val="002C3363"/>
    <w:rsid w:val="002C38FC"/>
    <w:rsid w:val="002C478F"/>
    <w:rsid w:val="002C5357"/>
    <w:rsid w:val="002C57DA"/>
    <w:rsid w:val="002C62C2"/>
    <w:rsid w:val="002C66BA"/>
    <w:rsid w:val="002C6D86"/>
    <w:rsid w:val="002C7667"/>
    <w:rsid w:val="002D230C"/>
    <w:rsid w:val="002D6627"/>
    <w:rsid w:val="002E1F76"/>
    <w:rsid w:val="002E2EFC"/>
    <w:rsid w:val="002E486C"/>
    <w:rsid w:val="002E53FA"/>
    <w:rsid w:val="002E57CF"/>
    <w:rsid w:val="002F0C7B"/>
    <w:rsid w:val="002F1A54"/>
    <w:rsid w:val="002F2CD7"/>
    <w:rsid w:val="002F479F"/>
    <w:rsid w:val="002F4B3B"/>
    <w:rsid w:val="002F58EE"/>
    <w:rsid w:val="002F5F1C"/>
    <w:rsid w:val="002F6303"/>
    <w:rsid w:val="002F683E"/>
    <w:rsid w:val="002F6CE0"/>
    <w:rsid w:val="002F71CB"/>
    <w:rsid w:val="002F7C4C"/>
    <w:rsid w:val="003009EA"/>
    <w:rsid w:val="00301A31"/>
    <w:rsid w:val="003042BE"/>
    <w:rsid w:val="00305097"/>
    <w:rsid w:val="0031002E"/>
    <w:rsid w:val="00310732"/>
    <w:rsid w:val="003111E8"/>
    <w:rsid w:val="00312247"/>
    <w:rsid w:val="00314420"/>
    <w:rsid w:val="00315E6F"/>
    <w:rsid w:val="00316954"/>
    <w:rsid w:val="003207C6"/>
    <w:rsid w:val="0032199F"/>
    <w:rsid w:val="00322FE3"/>
    <w:rsid w:val="00323096"/>
    <w:rsid w:val="00325888"/>
    <w:rsid w:val="00326569"/>
    <w:rsid w:val="003278E0"/>
    <w:rsid w:val="003304DC"/>
    <w:rsid w:val="003322C3"/>
    <w:rsid w:val="003329EB"/>
    <w:rsid w:val="00333C9F"/>
    <w:rsid w:val="003363D4"/>
    <w:rsid w:val="00336EFA"/>
    <w:rsid w:val="00343DE2"/>
    <w:rsid w:val="0034555E"/>
    <w:rsid w:val="00346417"/>
    <w:rsid w:val="00351462"/>
    <w:rsid w:val="00351B27"/>
    <w:rsid w:val="00353999"/>
    <w:rsid w:val="00356BC9"/>
    <w:rsid w:val="00356CBC"/>
    <w:rsid w:val="00360BB0"/>
    <w:rsid w:val="00365B41"/>
    <w:rsid w:val="003670A3"/>
    <w:rsid w:val="00367B93"/>
    <w:rsid w:val="00367E78"/>
    <w:rsid w:val="00370213"/>
    <w:rsid w:val="0037061D"/>
    <w:rsid w:val="003728EF"/>
    <w:rsid w:val="00372FEB"/>
    <w:rsid w:val="003737F7"/>
    <w:rsid w:val="00373C53"/>
    <w:rsid w:val="003741ED"/>
    <w:rsid w:val="00377B4D"/>
    <w:rsid w:val="0038011D"/>
    <w:rsid w:val="00380380"/>
    <w:rsid w:val="003808A8"/>
    <w:rsid w:val="00381469"/>
    <w:rsid w:val="003836B3"/>
    <w:rsid w:val="0038721A"/>
    <w:rsid w:val="00387267"/>
    <w:rsid w:val="00391CEC"/>
    <w:rsid w:val="00392863"/>
    <w:rsid w:val="00397D5D"/>
    <w:rsid w:val="003A103A"/>
    <w:rsid w:val="003A1509"/>
    <w:rsid w:val="003A2F37"/>
    <w:rsid w:val="003A40C4"/>
    <w:rsid w:val="003A65DC"/>
    <w:rsid w:val="003A6688"/>
    <w:rsid w:val="003B0978"/>
    <w:rsid w:val="003B37F7"/>
    <w:rsid w:val="003B4CED"/>
    <w:rsid w:val="003B5CEA"/>
    <w:rsid w:val="003B73E4"/>
    <w:rsid w:val="003B77C3"/>
    <w:rsid w:val="003C0A2D"/>
    <w:rsid w:val="003C0A35"/>
    <w:rsid w:val="003C3EBB"/>
    <w:rsid w:val="003C42B5"/>
    <w:rsid w:val="003C54DB"/>
    <w:rsid w:val="003C5867"/>
    <w:rsid w:val="003C5B31"/>
    <w:rsid w:val="003C7F14"/>
    <w:rsid w:val="003D0BB5"/>
    <w:rsid w:val="003D1240"/>
    <w:rsid w:val="003D1C0B"/>
    <w:rsid w:val="003D276A"/>
    <w:rsid w:val="003D484F"/>
    <w:rsid w:val="003D5A31"/>
    <w:rsid w:val="003D7A20"/>
    <w:rsid w:val="003E082D"/>
    <w:rsid w:val="003E244A"/>
    <w:rsid w:val="003F169A"/>
    <w:rsid w:val="003F26C7"/>
    <w:rsid w:val="003F47A6"/>
    <w:rsid w:val="003F58A9"/>
    <w:rsid w:val="004003E8"/>
    <w:rsid w:val="00400A51"/>
    <w:rsid w:val="004029BD"/>
    <w:rsid w:val="00403DB3"/>
    <w:rsid w:val="00407A64"/>
    <w:rsid w:val="0041134A"/>
    <w:rsid w:val="0041256E"/>
    <w:rsid w:val="00415868"/>
    <w:rsid w:val="00415DE0"/>
    <w:rsid w:val="00416396"/>
    <w:rsid w:val="004176D7"/>
    <w:rsid w:val="00420C50"/>
    <w:rsid w:val="004216A6"/>
    <w:rsid w:val="004217DE"/>
    <w:rsid w:val="0042635B"/>
    <w:rsid w:val="004267FF"/>
    <w:rsid w:val="00426F87"/>
    <w:rsid w:val="00427946"/>
    <w:rsid w:val="00427C03"/>
    <w:rsid w:val="00432E98"/>
    <w:rsid w:val="00432F93"/>
    <w:rsid w:val="00436641"/>
    <w:rsid w:val="004377F6"/>
    <w:rsid w:val="00437C92"/>
    <w:rsid w:val="004405D2"/>
    <w:rsid w:val="00443536"/>
    <w:rsid w:val="00444923"/>
    <w:rsid w:val="0044734B"/>
    <w:rsid w:val="00447C27"/>
    <w:rsid w:val="00450223"/>
    <w:rsid w:val="00450D32"/>
    <w:rsid w:val="00454396"/>
    <w:rsid w:val="00456109"/>
    <w:rsid w:val="00456C0D"/>
    <w:rsid w:val="004629B1"/>
    <w:rsid w:val="00466002"/>
    <w:rsid w:val="00467EE4"/>
    <w:rsid w:val="0047071A"/>
    <w:rsid w:val="004719F9"/>
    <w:rsid w:val="0047717E"/>
    <w:rsid w:val="00477714"/>
    <w:rsid w:val="0047783A"/>
    <w:rsid w:val="0048188B"/>
    <w:rsid w:val="00481FDF"/>
    <w:rsid w:val="00483821"/>
    <w:rsid w:val="00485687"/>
    <w:rsid w:val="00492C0B"/>
    <w:rsid w:val="00493FDF"/>
    <w:rsid w:val="004A2A66"/>
    <w:rsid w:val="004A2E34"/>
    <w:rsid w:val="004A2EF5"/>
    <w:rsid w:val="004A4BEE"/>
    <w:rsid w:val="004A4CBD"/>
    <w:rsid w:val="004A62AF"/>
    <w:rsid w:val="004A7B7A"/>
    <w:rsid w:val="004A7EF8"/>
    <w:rsid w:val="004B192C"/>
    <w:rsid w:val="004B4100"/>
    <w:rsid w:val="004B4AD8"/>
    <w:rsid w:val="004B6353"/>
    <w:rsid w:val="004B65EB"/>
    <w:rsid w:val="004B66E0"/>
    <w:rsid w:val="004B671D"/>
    <w:rsid w:val="004B6AA9"/>
    <w:rsid w:val="004B7F14"/>
    <w:rsid w:val="004C0C9A"/>
    <w:rsid w:val="004C32D7"/>
    <w:rsid w:val="004C3D49"/>
    <w:rsid w:val="004C60E9"/>
    <w:rsid w:val="004C6889"/>
    <w:rsid w:val="004C6BB6"/>
    <w:rsid w:val="004D0372"/>
    <w:rsid w:val="004D2BA2"/>
    <w:rsid w:val="004D3F69"/>
    <w:rsid w:val="004D4CAD"/>
    <w:rsid w:val="004D4F08"/>
    <w:rsid w:val="004D6F00"/>
    <w:rsid w:val="004D7F22"/>
    <w:rsid w:val="004E183F"/>
    <w:rsid w:val="004E2C47"/>
    <w:rsid w:val="004E6AE1"/>
    <w:rsid w:val="004F17DF"/>
    <w:rsid w:val="004F1E24"/>
    <w:rsid w:val="004F2355"/>
    <w:rsid w:val="004F23A4"/>
    <w:rsid w:val="004F3330"/>
    <w:rsid w:val="004F3754"/>
    <w:rsid w:val="004F4A45"/>
    <w:rsid w:val="004F70A8"/>
    <w:rsid w:val="004F7E55"/>
    <w:rsid w:val="004F7FB3"/>
    <w:rsid w:val="0050208E"/>
    <w:rsid w:val="00502641"/>
    <w:rsid w:val="005058D3"/>
    <w:rsid w:val="00507B09"/>
    <w:rsid w:val="005137F1"/>
    <w:rsid w:val="00516B20"/>
    <w:rsid w:val="005218BD"/>
    <w:rsid w:val="005228FE"/>
    <w:rsid w:val="00523352"/>
    <w:rsid w:val="0052525A"/>
    <w:rsid w:val="00527322"/>
    <w:rsid w:val="005275E0"/>
    <w:rsid w:val="00532D03"/>
    <w:rsid w:val="00532EE6"/>
    <w:rsid w:val="00533301"/>
    <w:rsid w:val="00533E31"/>
    <w:rsid w:val="005341FE"/>
    <w:rsid w:val="005362C2"/>
    <w:rsid w:val="0053696A"/>
    <w:rsid w:val="00536C2D"/>
    <w:rsid w:val="00540489"/>
    <w:rsid w:val="00541B3F"/>
    <w:rsid w:val="0054274E"/>
    <w:rsid w:val="00545F1D"/>
    <w:rsid w:val="00546776"/>
    <w:rsid w:val="005470DC"/>
    <w:rsid w:val="00550650"/>
    <w:rsid w:val="00550F97"/>
    <w:rsid w:val="00554A46"/>
    <w:rsid w:val="00555D30"/>
    <w:rsid w:val="00560499"/>
    <w:rsid w:val="0056095B"/>
    <w:rsid w:val="0056157D"/>
    <w:rsid w:val="00561A88"/>
    <w:rsid w:val="0056242A"/>
    <w:rsid w:val="005634DB"/>
    <w:rsid w:val="005646A1"/>
    <w:rsid w:val="005655CB"/>
    <w:rsid w:val="0056708A"/>
    <w:rsid w:val="00573F85"/>
    <w:rsid w:val="005743A7"/>
    <w:rsid w:val="0057502A"/>
    <w:rsid w:val="00575B9B"/>
    <w:rsid w:val="00577084"/>
    <w:rsid w:val="0057740E"/>
    <w:rsid w:val="00577C5A"/>
    <w:rsid w:val="00580281"/>
    <w:rsid w:val="00584B10"/>
    <w:rsid w:val="005854F9"/>
    <w:rsid w:val="005858EB"/>
    <w:rsid w:val="00585F90"/>
    <w:rsid w:val="005902A8"/>
    <w:rsid w:val="00590E96"/>
    <w:rsid w:val="00592FF2"/>
    <w:rsid w:val="00593216"/>
    <w:rsid w:val="00595C34"/>
    <w:rsid w:val="005967C0"/>
    <w:rsid w:val="00597287"/>
    <w:rsid w:val="005A08F1"/>
    <w:rsid w:val="005A0B3B"/>
    <w:rsid w:val="005A3C91"/>
    <w:rsid w:val="005A3CD3"/>
    <w:rsid w:val="005A5840"/>
    <w:rsid w:val="005A5A50"/>
    <w:rsid w:val="005A5B39"/>
    <w:rsid w:val="005A6DB2"/>
    <w:rsid w:val="005B074E"/>
    <w:rsid w:val="005B111E"/>
    <w:rsid w:val="005B2C1F"/>
    <w:rsid w:val="005B54C6"/>
    <w:rsid w:val="005C685D"/>
    <w:rsid w:val="005C7BC4"/>
    <w:rsid w:val="005D13A4"/>
    <w:rsid w:val="005D1D23"/>
    <w:rsid w:val="005D38D6"/>
    <w:rsid w:val="005D3FBE"/>
    <w:rsid w:val="005E09B1"/>
    <w:rsid w:val="005E0FA2"/>
    <w:rsid w:val="005E2315"/>
    <w:rsid w:val="005E3838"/>
    <w:rsid w:val="005E3A64"/>
    <w:rsid w:val="005E40CD"/>
    <w:rsid w:val="005F3273"/>
    <w:rsid w:val="005F645D"/>
    <w:rsid w:val="005F771C"/>
    <w:rsid w:val="005F7F87"/>
    <w:rsid w:val="00600D3D"/>
    <w:rsid w:val="00601B41"/>
    <w:rsid w:val="00602B59"/>
    <w:rsid w:val="00606AA0"/>
    <w:rsid w:val="00610E1D"/>
    <w:rsid w:val="00611387"/>
    <w:rsid w:val="00611827"/>
    <w:rsid w:val="0061530C"/>
    <w:rsid w:val="00623B6F"/>
    <w:rsid w:val="006262B5"/>
    <w:rsid w:val="00631801"/>
    <w:rsid w:val="00633395"/>
    <w:rsid w:val="00634321"/>
    <w:rsid w:val="0063456D"/>
    <w:rsid w:val="0063466A"/>
    <w:rsid w:val="0063551A"/>
    <w:rsid w:val="00636B29"/>
    <w:rsid w:val="006376A4"/>
    <w:rsid w:val="006376ED"/>
    <w:rsid w:val="00641F58"/>
    <w:rsid w:val="00642A11"/>
    <w:rsid w:val="00644A13"/>
    <w:rsid w:val="00644E1C"/>
    <w:rsid w:val="00645331"/>
    <w:rsid w:val="00647578"/>
    <w:rsid w:val="006476CC"/>
    <w:rsid w:val="0065021E"/>
    <w:rsid w:val="00650766"/>
    <w:rsid w:val="00650DB2"/>
    <w:rsid w:val="00651E7A"/>
    <w:rsid w:val="006521C7"/>
    <w:rsid w:val="00653A93"/>
    <w:rsid w:val="006550C5"/>
    <w:rsid w:val="006640E3"/>
    <w:rsid w:val="006644E8"/>
    <w:rsid w:val="00665364"/>
    <w:rsid w:val="00666BB9"/>
    <w:rsid w:val="0067087B"/>
    <w:rsid w:val="00670C4B"/>
    <w:rsid w:val="00670EC5"/>
    <w:rsid w:val="006712D1"/>
    <w:rsid w:val="006729F6"/>
    <w:rsid w:val="00672BD7"/>
    <w:rsid w:val="006741B6"/>
    <w:rsid w:val="00674733"/>
    <w:rsid w:val="00674EF3"/>
    <w:rsid w:val="006766C5"/>
    <w:rsid w:val="00677A26"/>
    <w:rsid w:val="0068011E"/>
    <w:rsid w:val="006806B2"/>
    <w:rsid w:val="00680A68"/>
    <w:rsid w:val="00681FDA"/>
    <w:rsid w:val="00682FB7"/>
    <w:rsid w:val="0068429C"/>
    <w:rsid w:val="00686CF4"/>
    <w:rsid w:val="00690E89"/>
    <w:rsid w:val="00693438"/>
    <w:rsid w:val="00694A00"/>
    <w:rsid w:val="00695716"/>
    <w:rsid w:val="006962E4"/>
    <w:rsid w:val="00696FB6"/>
    <w:rsid w:val="0069741D"/>
    <w:rsid w:val="00697AED"/>
    <w:rsid w:val="006A0C28"/>
    <w:rsid w:val="006A2F9E"/>
    <w:rsid w:val="006A309F"/>
    <w:rsid w:val="006A3DE5"/>
    <w:rsid w:val="006A408D"/>
    <w:rsid w:val="006A5F88"/>
    <w:rsid w:val="006A7992"/>
    <w:rsid w:val="006B4F0E"/>
    <w:rsid w:val="006B6880"/>
    <w:rsid w:val="006B78EF"/>
    <w:rsid w:val="006C19A0"/>
    <w:rsid w:val="006C3AFF"/>
    <w:rsid w:val="006C7078"/>
    <w:rsid w:val="006D0863"/>
    <w:rsid w:val="006D21F2"/>
    <w:rsid w:val="006D4E4E"/>
    <w:rsid w:val="006D6DDD"/>
    <w:rsid w:val="006D74F1"/>
    <w:rsid w:val="006D7E84"/>
    <w:rsid w:val="006E3F1A"/>
    <w:rsid w:val="006E6C20"/>
    <w:rsid w:val="006F176E"/>
    <w:rsid w:val="006F273A"/>
    <w:rsid w:val="006F55F7"/>
    <w:rsid w:val="006F6532"/>
    <w:rsid w:val="006F6ADC"/>
    <w:rsid w:val="00700014"/>
    <w:rsid w:val="00700089"/>
    <w:rsid w:val="00701D6A"/>
    <w:rsid w:val="00702864"/>
    <w:rsid w:val="0070297D"/>
    <w:rsid w:val="0070448B"/>
    <w:rsid w:val="00704DA6"/>
    <w:rsid w:val="00706BAD"/>
    <w:rsid w:val="00706EFB"/>
    <w:rsid w:val="007115BA"/>
    <w:rsid w:val="007118F5"/>
    <w:rsid w:val="007119E9"/>
    <w:rsid w:val="00712671"/>
    <w:rsid w:val="007126BC"/>
    <w:rsid w:val="00714768"/>
    <w:rsid w:val="00717970"/>
    <w:rsid w:val="00720049"/>
    <w:rsid w:val="007209F4"/>
    <w:rsid w:val="0072101C"/>
    <w:rsid w:val="00722B61"/>
    <w:rsid w:val="0072669F"/>
    <w:rsid w:val="00727260"/>
    <w:rsid w:val="00740050"/>
    <w:rsid w:val="00740CF4"/>
    <w:rsid w:val="00742D2D"/>
    <w:rsid w:val="00743AEF"/>
    <w:rsid w:val="00746FA7"/>
    <w:rsid w:val="00751735"/>
    <w:rsid w:val="007553BB"/>
    <w:rsid w:val="00755B16"/>
    <w:rsid w:val="007609E3"/>
    <w:rsid w:val="00761C26"/>
    <w:rsid w:val="00770B1C"/>
    <w:rsid w:val="007800C9"/>
    <w:rsid w:val="007801BA"/>
    <w:rsid w:val="00782723"/>
    <w:rsid w:val="007845A7"/>
    <w:rsid w:val="00784FCB"/>
    <w:rsid w:val="007850BC"/>
    <w:rsid w:val="0078591C"/>
    <w:rsid w:val="0078623F"/>
    <w:rsid w:val="00786C4B"/>
    <w:rsid w:val="0078768E"/>
    <w:rsid w:val="007879A0"/>
    <w:rsid w:val="00787F9F"/>
    <w:rsid w:val="007953E3"/>
    <w:rsid w:val="0079708E"/>
    <w:rsid w:val="007A4505"/>
    <w:rsid w:val="007A47DC"/>
    <w:rsid w:val="007A699D"/>
    <w:rsid w:val="007B2033"/>
    <w:rsid w:val="007B29B2"/>
    <w:rsid w:val="007B31B9"/>
    <w:rsid w:val="007B5FCB"/>
    <w:rsid w:val="007B611A"/>
    <w:rsid w:val="007B6187"/>
    <w:rsid w:val="007B61D1"/>
    <w:rsid w:val="007B64FB"/>
    <w:rsid w:val="007B6D64"/>
    <w:rsid w:val="007C13AD"/>
    <w:rsid w:val="007C1AD5"/>
    <w:rsid w:val="007C3E2F"/>
    <w:rsid w:val="007C4BD8"/>
    <w:rsid w:val="007D4CDE"/>
    <w:rsid w:val="007D4EA8"/>
    <w:rsid w:val="007D50BD"/>
    <w:rsid w:val="007D5ABD"/>
    <w:rsid w:val="007D63F0"/>
    <w:rsid w:val="007E08B8"/>
    <w:rsid w:val="007E0ED9"/>
    <w:rsid w:val="007E2756"/>
    <w:rsid w:val="007E381B"/>
    <w:rsid w:val="007E6C53"/>
    <w:rsid w:val="007E6D44"/>
    <w:rsid w:val="007E7496"/>
    <w:rsid w:val="007F2C09"/>
    <w:rsid w:val="007F43EC"/>
    <w:rsid w:val="007F45A8"/>
    <w:rsid w:val="007F52A4"/>
    <w:rsid w:val="007F56D5"/>
    <w:rsid w:val="007F5B2A"/>
    <w:rsid w:val="007F6A42"/>
    <w:rsid w:val="007F78B5"/>
    <w:rsid w:val="0080639A"/>
    <w:rsid w:val="00806CC7"/>
    <w:rsid w:val="0081332A"/>
    <w:rsid w:val="0081389F"/>
    <w:rsid w:val="00814FC1"/>
    <w:rsid w:val="00815571"/>
    <w:rsid w:val="00820179"/>
    <w:rsid w:val="00821CC5"/>
    <w:rsid w:val="008223FE"/>
    <w:rsid w:val="00822CE7"/>
    <w:rsid w:val="00823140"/>
    <w:rsid w:val="00823B44"/>
    <w:rsid w:val="008251D4"/>
    <w:rsid w:val="00825733"/>
    <w:rsid w:val="0082643B"/>
    <w:rsid w:val="008279AC"/>
    <w:rsid w:val="008313F8"/>
    <w:rsid w:val="00831B6D"/>
    <w:rsid w:val="00840F40"/>
    <w:rsid w:val="0084367B"/>
    <w:rsid w:val="0085240A"/>
    <w:rsid w:val="00852751"/>
    <w:rsid w:val="00852B97"/>
    <w:rsid w:val="008531FD"/>
    <w:rsid w:val="0085447F"/>
    <w:rsid w:val="00854D3D"/>
    <w:rsid w:val="00855ACE"/>
    <w:rsid w:val="00856D3E"/>
    <w:rsid w:val="00856ED7"/>
    <w:rsid w:val="00857B39"/>
    <w:rsid w:val="00857D9D"/>
    <w:rsid w:val="0086025D"/>
    <w:rsid w:val="00860E31"/>
    <w:rsid w:val="00866682"/>
    <w:rsid w:val="00867EE9"/>
    <w:rsid w:val="0087040A"/>
    <w:rsid w:val="00872DA2"/>
    <w:rsid w:val="00877AEC"/>
    <w:rsid w:val="008816D4"/>
    <w:rsid w:val="00881AB5"/>
    <w:rsid w:val="00884803"/>
    <w:rsid w:val="00884A01"/>
    <w:rsid w:val="008872A6"/>
    <w:rsid w:val="00887F12"/>
    <w:rsid w:val="00890197"/>
    <w:rsid w:val="00890692"/>
    <w:rsid w:val="00892EB7"/>
    <w:rsid w:val="0089539D"/>
    <w:rsid w:val="00895FE0"/>
    <w:rsid w:val="00897FFE"/>
    <w:rsid w:val="008A1AD0"/>
    <w:rsid w:val="008A599A"/>
    <w:rsid w:val="008A5BD2"/>
    <w:rsid w:val="008A69C8"/>
    <w:rsid w:val="008B1295"/>
    <w:rsid w:val="008B1B5F"/>
    <w:rsid w:val="008B3129"/>
    <w:rsid w:val="008B7D0F"/>
    <w:rsid w:val="008C3788"/>
    <w:rsid w:val="008C42E6"/>
    <w:rsid w:val="008C4E4D"/>
    <w:rsid w:val="008C6B23"/>
    <w:rsid w:val="008C6DFC"/>
    <w:rsid w:val="008D1098"/>
    <w:rsid w:val="008D2D6F"/>
    <w:rsid w:val="008D3003"/>
    <w:rsid w:val="008E189A"/>
    <w:rsid w:val="008E2C11"/>
    <w:rsid w:val="008E2D32"/>
    <w:rsid w:val="008E72CA"/>
    <w:rsid w:val="008E7744"/>
    <w:rsid w:val="008F1648"/>
    <w:rsid w:val="008F3234"/>
    <w:rsid w:val="008F502C"/>
    <w:rsid w:val="008F583B"/>
    <w:rsid w:val="008F5A35"/>
    <w:rsid w:val="008F6AAE"/>
    <w:rsid w:val="00900FE9"/>
    <w:rsid w:val="00901D4B"/>
    <w:rsid w:val="0090469E"/>
    <w:rsid w:val="00905F5D"/>
    <w:rsid w:val="009060C5"/>
    <w:rsid w:val="0090622E"/>
    <w:rsid w:val="00907A62"/>
    <w:rsid w:val="009101DB"/>
    <w:rsid w:val="009117DD"/>
    <w:rsid w:val="009125E9"/>
    <w:rsid w:val="00912F31"/>
    <w:rsid w:val="00913489"/>
    <w:rsid w:val="00913B25"/>
    <w:rsid w:val="00914372"/>
    <w:rsid w:val="00917979"/>
    <w:rsid w:val="00924BD0"/>
    <w:rsid w:val="009253D3"/>
    <w:rsid w:val="009258D2"/>
    <w:rsid w:val="00931FE5"/>
    <w:rsid w:val="00937D0A"/>
    <w:rsid w:val="009420B8"/>
    <w:rsid w:val="00945A5E"/>
    <w:rsid w:val="009508A4"/>
    <w:rsid w:val="0095114A"/>
    <w:rsid w:val="0095173F"/>
    <w:rsid w:val="009518DA"/>
    <w:rsid w:val="00951E9B"/>
    <w:rsid w:val="00952093"/>
    <w:rsid w:val="009530C5"/>
    <w:rsid w:val="00954EF2"/>
    <w:rsid w:val="009566DD"/>
    <w:rsid w:val="00956A9D"/>
    <w:rsid w:val="00956AD1"/>
    <w:rsid w:val="00957C43"/>
    <w:rsid w:val="009602D5"/>
    <w:rsid w:val="009611DB"/>
    <w:rsid w:val="00962A42"/>
    <w:rsid w:val="00962A4D"/>
    <w:rsid w:val="009662F9"/>
    <w:rsid w:val="00966BFC"/>
    <w:rsid w:val="00967B35"/>
    <w:rsid w:val="009707CB"/>
    <w:rsid w:val="009710EE"/>
    <w:rsid w:val="00971886"/>
    <w:rsid w:val="00972ACF"/>
    <w:rsid w:val="0097468E"/>
    <w:rsid w:val="00974C87"/>
    <w:rsid w:val="009770E5"/>
    <w:rsid w:val="00982EA7"/>
    <w:rsid w:val="009844F4"/>
    <w:rsid w:val="00990394"/>
    <w:rsid w:val="009931FE"/>
    <w:rsid w:val="009946C4"/>
    <w:rsid w:val="00994C6C"/>
    <w:rsid w:val="00996222"/>
    <w:rsid w:val="009A0912"/>
    <w:rsid w:val="009A1081"/>
    <w:rsid w:val="009A1514"/>
    <w:rsid w:val="009A18BF"/>
    <w:rsid w:val="009A1FB1"/>
    <w:rsid w:val="009A26DF"/>
    <w:rsid w:val="009A43F4"/>
    <w:rsid w:val="009A4E56"/>
    <w:rsid w:val="009A5703"/>
    <w:rsid w:val="009A5BBE"/>
    <w:rsid w:val="009A7588"/>
    <w:rsid w:val="009A7E2C"/>
    <w:rsid w:val="009B3E7B"/>
    <w:rsid w:val="009B4205"/>
    <w:rsid w:val="009B4DB1"/>
    <w:rsid w:val="009B56FA"/>
    <w:rsid w:val="009B5E6B"/>
    <w:rsid w:val="009B6BBE"/>
    <w:rsid w:val="009B7FD7"/>
    <w:rsid w:val="009C0167"/>
    <w:rsid w:val="009C11D6"/>
    <w:rsid w:val="009C1983"/>
    <w:rsid w:val="009C3D87"/>
    <w:rsid w:val="009C3F83"/>
    <w:rsid w:val="009C3FEF"/>
    <w:rsid w:val="009C5316"/>
    <w:rsid w:val="009C5786"/>
    <w:rsid w:val="009C5B5F"/>
    <w:rsid w:val="009C734E"/>
    <w:rsid w:val="009D1C59"/>
    <w:rsid w:val="009D2DE8"/>
    <w:rsid w:val="009D3AC5"/>
    <w:rsid w:val="009D450F"/>
    <w:rsid w:val="009D4FE5"/>
    <w:rsid w:val="009D58F3"/>
    <w:rsid w:val="009E1E30"/>
    <w:rsid w:val="009E2699"/>
    <w:rsid w:val="009E690A"/>
    <w:rsid w:val="009E6CE0"/>
    <w:rsid w:val="009E6DA9"/>
    <w:rsid w:val="009F1A3A"/>
    <w:rsid w:val="009F2DA0"/>
    <w:rsid w:val="009F5AB1"/>
    <w:rsid w:val="009F7592"/>
    <w:rsid w:val="00A029E3"/>
    <w:rsid w:val="00A053B8"/>
    <w:rsid w:val="00A06CAC"/>
    <w:rsid w:val="00A06EFA"/>
    <w:rsid w:val="00A07A93"/>
    <w:rsid w:val="00A11783"/>
    <w:rsid w:val="00A118F1"/>
    <w:rsid w:val="00A11DB5"/>
    <w:rsid w:val="00A14C5B"/>
    <w:rsid w:val="00A153C5"/>
    <w:rsid w:val="00A16672"/>
    <w:rsid w:val="00A16EED"/>
    <w:rsid w:val="00A1757A"/>
    <w:rsid w:val="00A2045F"/>
    <w:rsid w:val="00A22316"/>
    <w:rsid w:val="00A24829"/>
    <w:rsid w:val="00A275DD"/>
    <w:rsid w:val="00A27DFE"/>
    <w:rsid w:val="00A31AB8"/>
    <w:rsid w:val="00A31CC9"/>
    <w:rsid w:val="00A333F7"/>
    <w:rsid w:val="00A3394D"/>
    <w:rsid w:val="00A34098"/>
    <w:rsid w:val="00A35617"/>
    <w:rsid w:val="00A3653A"/>
    <w:rsid w:val="00A36A9B"/>
    <w:rsid w:val="00A36D59"/>
    <w:rsid w:val="00A4082E"/>
    <w:rsid w:val="00A408F1"/>
    <w:rsid w:val="00A42B8F"/>
    <w:rsid w:val="00A43951"/>
    <w:rsid w:val="00A45538"/>
    <w:rsid w:val="00A47D3D"/>
    <w:rsid w:val="00A50321"/>
    <w:rsid w:val="00A52337"/>
    <w:rsid w:val="00A53D83"/>
    <w:rsid w:val="00A54D0D"/>
    <w:rsid w:val="00A57062"/>
    <w:rsid w:val="00A57994"/>
    <w:rsid w:val="00A61674"/>
    <w:rsid w:val="00A627B3"/>
    <w:rsid w:val="00A63395"/>
    <w:rsid w:val="00A640D6"/>
    <w:rsid w:val="00A64AED"/>
    <w:rsid w:val="00A6598B"/>
    <w:rsid w:val="00A66B9B"/>
    <w:rsid w:val="00A70271"/>
    <w:rsid w:val="00A7075D"/>
    <w:rsid w:val="00A70C69"/>
    <w:rsid w:val="00A71C63"/>
    <w:rsid w:val="00A733FE"/>
    <w:rsid w:val="00A73A26"/>
    <w:rsid w:val="00A77AF8"/>
    <w:rsid w:val="00A77D20"/>
    <w:rsid w:val="00A80CAF"/>
    <w:rsid w:val="00A83931"/>
    <w:rsid w:val="00A83E81"/>
    <w:rsid w:val="00A845FF"/>
    <w:rsid w:val="00A84DAC"/>
    <w:rsid w:val="00A87289"/>
    <w:rsid w:val="00A90193"/>
    <w:rsid w:val="00A90A97"/>
    <w:rsid w:val="00A93DA3"/>
    <w:rsid w:val="00A941D4"/>
    <w:rsid w:val="00A965A1"/>
    <w:rsid w:val="00A9693E"/>
    <w:rsid w:val="00A97677"/>
    <w:rsid w:val="00AA27D3"/>
    <w:rsid w:val="00AA3658"/>
    <w:rsid w:val="00AA5911"/>
    <w:rsid w:val="00AA6115"/>
    <w:rsid w:val="00AA648E"/>
    <w:rsid w:val="00AB1860"/>
    <w:rsid w:val="00AB28C8"/>
    <w:rsid w:val="00AB365D"/>
    <w:rsid w:val="00AB7A0C"/>
    <w:rsid w:val="00AC059E"/>
    <w:rsid w:val="00AC4222"/>
    <w:rsid w:val="00AC57B4"/>
    <w:rsid w:val="00AC7052"/>
    <w:rsid w:val="00AD3522"/>
    <w:rsid w:val="00AD41DE"/>
    <w:rsid w:val="00AD5933"/>
    <w:rsid w:val="00AD6A78"/>
    <w:rsid w:val="00AD6B42"/>
    <w:rsid w:val="00AE1572"/>
    <w:rsid w:val="00AE35DA"/>
    <w:rsid w:val="00AE4D04"/>
    <w:rsid w:val="00AE691A"/>
    <w:rsid w:val="00AF0143"/>
    <w:rsid w:val="00AF0699"/>
    <w:rsid w:val="00AF23BE"/>
    <w:rsid w:val="00AF77FE"/>
    <w:rsid w:val="00B02069"/>
    <w:rsid w:val="00B02215"/>
    <w:rsid w:val="00B04948"/>
    <w:rsid w:val="00B04CC4"/>
    <w:rsid w:val="00B05BB8"/>
    <w:rsid w:val="00B05D75"/>
    <w:rsid w:val="00B06694"/>
    <w:rsid w:val="00B06730"/>
    <w:rsid w:val="00B06B57"/>
    <w:rsid w:val="00B0767E"/>
    <w:rsid w:val="00B115E0"/>
    <w:rsid w:val="00B136DA"/>
    <w:rsid w:val="00B14393"/>
    <w:rsid w:val="00B1463D"/>
    <w:rsid w:val="00B1704C"/>
    <w:rsid w:val="00B176BF"/>
    <w:rsid w:val="00B1792B"/>
    <w:rsid w:val="00B17C5A"/>
    <w:rsid w:val="00B205DF"/>
    <w:rsid w:val="00B22C9F"/>
    <w:rsid w:val="00B26D1E"/>
    <w:rsid w:val="00B30C52"/>
    <w:rsid w:val="00B31A02"/>
    <w:rsid w:val="00B33791"/>
    <w:rsid w:val="00B34FF0"/>
    <w:rsid w:val="00B3590B"/>
    <w:rsid w:val="00B408D2"/>
    <w:rsid w:val="00B40ED3"/>
    <w:rsid w:val="00B42937"/>
    <w:rsid w:val="00B455B0"/>
    <w:rsid w:val="00B529FB"/>
    <w:rsid w:val="00B549F1"/>
    <w:rsid w:val="00B55962"/>
    <w:rsid w:val="00B60409"/>
    <w:rsid w:val="00B60460"/>
    <w:rsid w:val="00B61181"/>
    <w:rsid w:val="00B635A0"/>
    <w:rsid w:val="00B637A4"/>
    <w:rsid w:val="00B63A3D"/>
    <w:rsid w:val="00B64136"/>
    <w:rsid w:val="00B6583E"/>
    <w:rsid w:val="00B65B31"/>
    <w:rsid w:val="00B66E4B"/>
    <w:rsid w:val="00B671F9"/>
    <w:rsid w:val="00B7023E"/>
    <w:rsid w:val="00B703FB"/>
    <w:rsid w:val="00B70992"/>
    <w:rsid w:val="00B71C9C"/>
    <w:rsid w:val="00B75684"/>
    <w:rsid w:val="00B7590B"/>
    <w:rsid w:val="00B77730"/>
    <w:rsid w:val="00B77877"/>
    <w:rsid w:val="00B80105"/>
    <w:rsid w:val="00B8298C"/>
    <w:rsid w:val="00B83171"/>
    <w:rsid w:val="00B83B4E"/>
    <w:rsid w:val="00B8455D"/>
    <w:rsid w:val="00B847CD"/>
    <w:rsid w:val="00B85E7A"/>
    <w:rsid w:val="00B85F52"/>
    <w:rsid w:val="00B872AB"/>
    <w:rsid w:val="00B87A95"/>
    <w:rsid w:val="00B87E88"/>
    <w:rsid w:val="00B950AE"/>
    <w:rsid w:val="00B951EF"/>
    <w:rsid w:val="00BA0B7B"/>
    <w:rsid w:val="00BA30CC"/>
    <w:rsid w:val="00BA397B"/>
    <w:rsid w:val="00BA6CA4"/>
    <w:rsid w:val="00BA7869"/>
    <w:rsid w:val="00BA7C45"/>
    <w:rsid w:val="00BB21ED"/>
    <w:rsid w:val="00BB7932"/>
    <w:rsid w:val="00BC19EF"/>
    <w:rsid w:val="00BC20F6"/>
    <w:rsid w:val="00BC21DB"/>
    <w:rsid w:val="00BC3547"/>
    <w:rsid w:val="00BC4E9B"/>
    <w:rsid w:val="00BC6928"/>
    <w:rsid w:val="00BC6D60"/>
    <w:rsid w:val="00BC78BA"/>
    <w:rsid w:val="00BD1A64"/>
    <w:rsid w:val="00BD4C6E"/>
    <w:rsid w:val="00BD4E73"/>
    <w:rsid w:val="00BD5024"/>
    <w:rsid w:val="00BD64B7"/>
    <w:rsid w:val="00BE1862"/>
    <w:rsid w:val="00BE1E32"/>
    <w:rsid w:val="00BE4A1D"/>
    <w:rsid w:val="00BE56EE"/>
    <w:rsid w:val="00BE6ABE"/>
    <w:rsid w:val="00BE752B"/>
    <w:rsid w:val="00BE7DC3"/>
    <w:rsid w:val="00BF0306"/>
    <w:rsid w:val="00BF10E5"/>
    <w:rsid w:val="00BF15BF"/>
    <w:rsid w:val="00BF190C"/>
    <w:rsid w:val="00BF27CC"/>
    <w:rsid w:val="00BF37C6"/>
    <w:rsid w:val="00BF3DF2"/>
    <w:rsid w:val="00BF3FB9"/>
    <w:rsid w:val="00BF53DB"/>
    <w:rsid w:val="00BF5FA3"/>
    <w:rsid w:val="00BF6908"/>
    <w:rsid w:val="00C02138"/>
    <w:rsid w:val="00C02611"/>
    <w:rsid w:val="00C02B8B"/>
    <w:rsid w:val="00C04A5C"/>
    <w:rsid w:val="00C068F5"/>
    <w:rsid w:val="00C07072"/>
    <w:rsid w:val="00C07110"/>
    <w:rsid w:val="00C106AD"/>
    <w:rsid w:val="00C139AE"/>
    <w:rsid w:val="00C14CB8"/>
    <w:rsid w:val="00C16F09"/>
    <w:rsid w:val="00C210E5"/>
    <w:rsid w:val="00C232C5"/>
    <w:rsid w:val="00C3542A"/>
    <w:rsid w:val="00C35FB7"/>
    <w:rsid w:val="00C42A27"/>
    <w:rsid w:val="00C42D82"/>
    <w:rsid w:val="00C4739A"/>
    <w:rsid w:val="00C473F5"/>
    <w:rsid w:val="00C47F5E"/>
    <w:rsid w:val="00C507EB"/>
    <w:rsid w:val="00C52407"/>
    <w:rsid w:val="00C54CC1"/>
    <w:rsid w:val="00C55317"/>
    <w:rsid w:val="00C55ACB"/>
    <w:rsid w:val="00C6139C"/>
    <w:rsid w:val="00C666F0"/>
    <w:rsid w:val="00C6795D"/>
    <w:rsid w:val="00C723C3"/>
    <w:rsid w:val="00C73EB2"/>
    <w:rsid w:val="00C74545"/>
    <w:rsid w:val="00C74E90"/>
    <w:rsid w:val="00C757FD"/>
    <w:rsid w:val="00C76552"/>
    <w:rsid w:val="00C800EC"/>
    <w:rsid w:val="00C8373D"/>
    <w:rsid w:val="00C8649D"/>
    <w:rsid w:val="00C90A5C"/>
    <w:rsid w:val="00C91668"/>
    <w:rsid w:val="00C92176"/>
    <w:rsid w:val="00C92BB6"/>
    <w:rsid w:val="00C93ABC"/>
    <w:rsid w:val="00C94090"/>
    <w:rsid w:val="00C940EC"/>
    <w:rsid w:val="00C9491B"/>
    <w:rsid w:val="00C973BD"/>
    <w:rsid w:val="00CA39FD"/>
    <w:rsid w:val="00CA40B4"/>
    <w:rsid w:val="00CA4971"/>
    <w:rsid w:val="00CB0B26"/>
    <w:rsid w:val="00CB568B"/>
    <w:rsid w:val="00CB5AB3"/>
    <w:rsid w:val="00CB7A33"/>
    <w:rsid w:val="00CB7ED6"/>
    <w:rsid w:val="00CC0DF2"/>
    <w:rsid w:val="00CC0E35"/>
    <w:rsid w:val="00CC303E"/>
    <w:rsid w:val="00CC317D"/>
    <w:rsid w:val="00CC3ECE"/>
    <w:rsid w:val="00CC5299"/>
    <w:rsid w:val="00CC5F7C"/>
    <w:rsid w:val="00CC6DEE"/>
    <w:rsid w:val="00CC6F65"/>
    <w:rsid w:val="00CC7BB7"/>
    <w:rsid w:val="00CC7C02"/>
    <w:rsid w:val="00CD02C0"/>
    <w:rsid w:val="00CD0C7D"/>
    <w:rsid w:val="00CD1429"/>
    <w:rsid w:val="00CD182A"/>
    <w:rsid w:val="00CD4096"/>
    <w:rsid w:val="00CD7A63"/>
    <w:rsid w:val="00CE1586"/>
    <w:rsid w:val="00CE195B"/>
    <w:rsid w:val="00CE2FAE"/>
    <w:rsid w:val="00CE2FD7"/>
    <w:rsid w:val="00CE6892"/>
    <w:rsid w:val="00CF028D"/>
    <w:rsid w:val="00CF3802"/>
    <w:rsid w:val="00CF3E46"/>
    <w:rsid w:val="00CF5A2F"/>
    <w:rsid w:val="00CF632F"/>
    <w:rsid w:val="00CF6AE6"/>
    <w:rsid w:val="00D03100"/>
    <w:rsid w:val="00D03863"/>
    <w:rsid w:val="00D03E63"/>
    <w:rsid w:val="00D05018"/>
    <w:rsid w:val="00D1039F"/>
    <w:rsid w:val="00D10B47"/>
    <w:rsid w:val="00D12957"/>
    <w:rsid w:val="00D12DC1"/>
    <w:rsid w:val="00D13B32"/>
    <w:rsid w:val="00D1425D"/>
    <w:rsid w:val="00D15EB9"/>
    <w:rsid w:val="00D168C2"/>
    <w:rsid w:val="00D170EB"/>
    <w:rsid w:val="00D175DC"/>
    <w:rsid w:val="00D25E9F"/>
    <w:rsid w:val="00D41CAD"/>
    <w:rsid w:val="00D42337"/>
    <w:rsid w:val="00D438E9"/>
    <w:rsid w:val="00D45370"/>
    <w:rsid w:val="00D47880"/>
    <w:rsid w:val="00D50E27"/>
    <w:rsid w:val="00D51D93"/>
    <w:rsid w:val="00D54632"/>
    <w:rsid w:val="00D602D1"/>
    <w:rsid w:val="00D6595A"/>
    <w:rsid w:val="00D70E7E"/>
    <w:rsid w:val="00D726B3"/>
    <w:rsid w:val="00D74FDE"/>
    <w:rsid w:val="00D770E0"/>
    <w:rsid w:val="00D808FA"/>
    <w:rsid w:val="00D82AF8"/>
    <w:rsid w:val="00D869A9"/>
    <w:rsid w:val="00D87802"/>
    <w:rsid w:val="00D90879"/>
    <w:rsid w:val="00D9592A"/>
    <w:rsid w:val="00D9735F"/>
    <w:rsid w:val="00DA254D"/>
    <w:rsid w:val="00DA6921"/>
    <w:rsid w:val="00DB08DC"/>
    <w:rsid w:val="00DB736A"/>
    <w:rsid w:val="00DC1575"/>
    <w:rsid w:val="00DC30B1"/>
    <w:rsid w:val="00DC6690"/>
    <w:rsid w:val="00DC6A70"/>
    <w:rsid w:val="00DC77AA"/>
    <w:rsid w:val="00DD19DE"/>
    <w:rsid w:val="00DD1C7D"/>
    <w:rsid w:val="00DD3192"/>
    <w:rsid w:val="00DD3B26"/>
    <w:rsid w:val="00DD40C5"/>
    <w:rsid w:val="00DD4BAB"/>
    <w:rsid w:val="00DD4C5C"/>
    <w:rsid w:val="00DD5A39"/>
    <w:rsid w:val="00DD5B29"/>
    <w:rsid w:val="00DD6309"/>
    <w:rsid w:val="00DD6337"/>
    <w:rsid w:val="00DD780B"/>
    <w:rsid w:val="00DD7830"/>
    <w:rsid w:val="00DE0CC2"/>
    <w:rsid w:val="00DE10D9"/>
    <w:rsid w:val="00DE6849"/>
    <w:rsid w:val="00DE7C0E"/>
    <w:rsid w:val="00DF20D0"/>
    <w:rsid w:val="00DF5326"/>
    <w:rsid w:val="00E00717"/>
    <w:rsid w:val="00E014D5"/>
    <w:rsid w:val="00E04C85"/>
    <w:rsid w:val="00E053DF"/>
    <w:rsid w:val="00E05858"/>
    <w:rsid w:val="00E065BF"/>
    <w:rsid w:val="00E10DA8"/>
    <w:rsid w:val="00E11DC0"/>
    <w:rsid w:val="00E13592"/>
    <w:rsid w:val="00E135EA"/>
    <w:rsid w:val="00E13823"/>
    <w:rsid w:val="00E1570E"/>
    <w:rsid w:val="00E17A4D"/>
    <w:rsid w:val="00E219F4"/>
    <w:rsid w:val="00E23348"/>
    <w:rsid w:val="00E23ED0"/>
    <w:rsid w:val="00E24432"/>
    <w:rsid w:val="00E27DB7"/>
    <w:rsid w:val="00E30362"/>
    <w:rsid w:val="00E30491"/>
    <w:rsid w:val="00E31646"/>
    <w:rsid w:val="00E3361B"/>
    <w:rsid w:val="00E34546"/>
    <w:rsid w:val="00E34862"/>
    <w:rsid w:val="00E36597"/>
    <w:rsid w:val="00E36D84"/>
    <w:rsid w:val="00E36FC7"/>
    <w:rsid w:val="00E37CAA"/>
    <w:rsid w:val="00E37F29"/>
    <w:rsid w:val="00E40BEA"/>
    <w:rsid w:val="00E410D6"/>
    <w:rsid w:val="00E42108"/>
    <w:rsid w:val="00E43A2D"/>
    <w:rsid w:val="00E4407B"/>
    <w:rsid w:val="00E4469D"/>
    <w:rsid w:val="00E50470"/>
    <w:rsid w:val="00E50B69"/>
    <w:rsid w:val="00E5173D"/>
    <w:rsid w:val="00E532B9"/>
    <w:rsid w:val="00E535A6"/>
    <w:rsid w:val="00E573D1"/>
    <w:rsid w:val="00E57D38"/>
    <w:rsid w:val="00E6140A"/>
    <w:rsid w:val="00E61EE8"/>
    <w:rsid w:val="00E6253C"/>
    <w:rsid w:val="00E628ED"/>
    <w:rsid w:val="00E6435C"/>
    <w:rsid w:val="00E66161"/>
    <w:rsid w:val="00E67F7D"/>
    <w:rsid w:val="00E7376A"/>
    <w:rsid w:val="00E7384C"/>
    <w:rsid w:val="00E80430"/>
    <w:rsid w:val="00E8052A"/>
    <w:rsid w:val="00E826C4"/>
    <w:rsid w:val="00E83C21"/>
    <w:rsid w:val="00E84D46"/>
    <w:rsid w:val="00E853BA"/>
    <w:rsid w:val="00E855B6"/>
    <w:rsid w:val="00E85DEF"/>
    <w:rsid w:val="00E86155"/>
    <w:rsid w:val="00E86602"/>
    <w:rsid w:val="00E86629"/>
    <w:rsid w:val="00E86848"/>
    <w:rsid w:val="00E87932"/>
    <w:rsid w:val="00E91248"/>
    <w:rsid w:val="00E9289B"/>
    <w:rsid w:val="00E93337"/>
    <w:rsid w:val="00E936EE"/>
    <w:rsid w:val="00E96748"/>
    <w:rsid w:val="00E97985"/>
    <w:rsid w:val="00EA0A5A"/>
    <w:rsid w:val="00EA0E64"/>
    <w:rsid w:val="00EA18A8"/>
    <w:rsid w:val="00EA2B5A"/>
    <w:rsid w:val="00EA33F1"/>
    <w:rsid w:val="00EA3E4B"/>
    <w:rsid w:val="00EA3FC7"/>
    <w:rsid w:val="00EB27F2"/>
    <w:rsid w:val="00EB2F39"/>
    <w:rsid w:val="00EB4EFF"/>
    <w:rsid w:val="00EB6364"/>
    <w:rsid w:val="00EB7346"/>
    <w:rsid w:val="00EC0F27"/>
    <w:rsid w:val="00EC4D15"/>
    <w:rsid w:val="00EC56A2"/>
    <w:rsid w:val="00EC6036"/>
    <w:rsid w:val="00EC6B3F"/>
    <w:rsid w:val="00EC6DC5"/>
    <w:rsid w:val="00ED1A09"/>
    <w:rsid w:val="00ED4FDC"/>
    <w:rsid w:val="00ED6D71"/>
    <w:rsid w:val="00ED772E"/>
    <w:rsid w:val="00EE11C2"/>
    <w:rsid w:val="00EE2B01"/>
    <w:rsid w:val="00EE2D17"/>
    <w:rsid w:val="00EE38D8"/>
    <w:rsid w:val="00EE42A2"/>
    <w:rsid w:val="00EF04FE"/>
    <w:rsid w:val="00EF0AD0"/>
    <w:rsid w:val="00EF189B"/>
    <w:rsid w:val="00EF2468"/>
    <w:rsid w:val="00EF5274"/>
    <w:rsid w:val="00EF6566"/>
    <w:rsid w:val="00EF6E43"/>
    <w:rsid w:val="00EF797E"/>
    <w:rsid w:val="00F00116"/>
    <w:rsid w:val="00F002DF"/>
    <w:rsid w:val="00F00C7D"/>
    <w:rsid w:val="00F012FA"/>
    <w:rsid w:val="00F01F59"/>
    <w:rsid w:val="00F10BFD"/>
    <w:rsid w:val="00F12D81"/>
    <w:rsid w:val="00F135CD"/>
    <w:rsid w:val="00F13820"/>
    <w:rsid w:val="00F16A14"/>
    <w:rsid w:val="00F22372"/>
    <w:rsid w:val="00F23323"/>
    <w:rsid w:val="00F2477B"/>
    <w:rsid w:val="00F26B36"/>
    <w:rsid w:val="00F271C3"/>
    <w:rsid w:val="00F27725"/>
    <w:rsid w:val="00F27F75"/>
    <w:rsid w:val="00F3147D"/>
    <w:rsid w:val="00F3372E"/>
    <w:rsid w:val="00F403BA"/>
    <w:rsid w:val="00F41AAC"/>
    <w:rsid w:val="00F42D52"/>
    <w:rsid w:val="00F434B0"/>
    <w:rsid w:val="00F44A7D"/>
    <w:rsid w:val="00F454A3"/>
    <w:rsid w:val="00F473E6"/>
    <w:rsid w:val="00F4747B"/>
    <w:rsid w:val="00F47892"/>
    <w:rsid w:val="00F47D90"/>
    <w:rsid w:val="00F52AF0"/>
    <w:rsid w:val="00F52EB5"/>
    <w:rsid w:val="00F52F64"/>
    <w:rsid w:val="00F5396D"/>
    <w:rsid w:val="00F6282A"/>
    <w:rsid w:val="00F63809"/>
    <w:rsid w:val="00F652B9"/>
    <w:rsid w:val="00F664B3"/>
    <w:rsid w:val="00F718DC"/>
    <w:rsid w:val="00F73655"/>
    <w:rsid w:val="00F74E4F"/>
    <w:rsid w:val="00F758A4"/>
    <w:rsid w:val="00F761BE"/>
    <w:rsid w:val="00F764EB"/>
    <w:rsid w:val="00F77216"/>
    <w:rsid w:val="00F772FE"/>
    <w:rsid w:val="00F80162"/>
    <w:rsid w:val="00F80B4F"/>
    <w:rsid w:val="00F818AC"/>
    <w:rsid w:val="00F81954"/>
    <w:rsid w:val="00F82EE2"/>
    <w:rsid w:val="00F83079"/>
    <w:rsid w:val="00F85771"/>
    <w:rsid w:val="00F85C4C"/>
    <w:rsid w:val="00F85D82"/>
    <w:rsid w:val="00F865DF"/>
    <w:rsid w:val="00F86D7B"/>
    <w:rsid w:val="00F91502"/>
    <w:rsid w:val="00F9250C"/>
    <w:rsid w:val="00F93FB6"/>
    <w:rsid w:val="00F94DDF"/>
    <w:rsid w:val="00FA3F1E"/>
    <w:rsid w:val="00FA6710"/>
    <w:rsid w:val="00FB2993"/>
    <w:rsid w:val="00FB3F24"/>
    <w:rsid w:val="00FB4096"/>
    <w:rsid w:val="00FB488C"/>
    <w:rsid w:val="00FB6AFC"/>
    <w:rsid w:val="00FB7215"/>
    <w:rsid w:val="00FC232A"/>
    <w:rsid w:val="00FC25A7"/>
    <w:rsid w:val="00FC4BD8"/>
    <w:rsid w:val="00FC4E7B"/>
    <w:rsid w:val="00FC4FEE"/>
    <w:rsid w:val="00FC57DF"/>
    <w:rsid w:val="00FC7C84"/>
    <w:rsid w:val="00FD0D13"/>
    <w:rsid w:val="00FD129B"/>
    <w:rsid w:val="00FD16B9"/>
    <w:rsid w:val="00FD25F0"/>
    <w:rsid w:val="00FD4C54"/>
    <w:rsid w:val="00FD5C00"/>
    <w:rsid w:val="00FD7954"/>
    <w:rsid w:val="00FE2E05"/>
    <w:rsid w:val="00FE2E6D"/>
    <w:rsid w:val="00FE35DA"/>
    <w:rsid w:val="00FE7273"/>
    <w:rsid w:val="00FE7485"/>
    <w:rsid w:val="00FE785D"/>
    <w:rsid w:val="00FF0699"/>
    <w:rsid w:val="00FF0BA7"/>
    <w:rsid w:val="00FF13FC"/>
    <w:rsid w:val="00FF20EA"/>
    <w:rsid w:val="00FF3912"/>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3">
      <o:colormru v:ext="edit" colors="#dceaf0"/>
    </o:shapedefaults>
    <o:shapelayout v:ext="edit">
      <o:idmap v:ext="edit" data="1"/>
    </o:shapelayout>
  </w:shapeDefaults>
  <w:decimalSymbol w:val="."/>
  <w:listSeparator w:val=","/>
  <w14:docId w14:val="570DAAEF"/>
  <w15:chartTrackingRefBased/>
  <w15:docId w15:val="{BBC285D2-29D2-4CE3-A322-A5CF16CA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ajorBidi"/>
        <w:color w:val="2F5496" w:themeColor="accent1" w:themeShade="BF"/>
        <w:sz w:val="26"/>
        <w:szCs w:val="26"/>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6694"/>
    <w:rPr>
      <w:color w:val="000000" w:themeColor="text1"/>
      <w:sz w:val="24"/>
    </w:rPr>
  </w:style>
  <w:style w:type="paragraph" w:styleId="Heading1">
    <w:name w:val="heading 1"/>
    <w:basedOn w:val="Normal"/>
    <w:next w:val="Normal"/>
    <w:link w:val="Heading1Char"/>
    <w:uiPriority w:val="9"/>
    <w:qFormat/>
    <w:rsid w:val="00206EA4"/>
    <w:pPr>
      <w:keepNext/>
      <w:keepLines/>
      <w:numPr>
        <w:numId w:val="1"/>
      </w:numPr>
      <w:spacing w:before="240" w:after="0"/>
      <w:outlineLvl w:val="0"/>
    </w:pPr>
    <w:rPr>
      <w:rFonts w:eastAsiaTheme="majorEastAsia"/>
      <w:b/>
      <w:color w:val="auto"/>
      <w:sz w:val="32"/>
      <w:szCs w:val="32"/>
    </w:rPr>
  </w:style>
  <w:style w:type="paragraph" w:styleId="Heading2">
    <w:name w:val="heading 2"/>
    <w:basedOn w:val="Normal"/>
    <w:next w:val="Normal"/>
    <w:link w:val="Heading2Char"/>
    <w:uiPriority w:val="9"/>
    <w:unhideWhenUsed/>
    <w:qFormat/>
    <w:rsid w:val="00644A13"/>
    <w:pPr>
      <w:keepNext/>
      <w:keepLines/>
      <w:numPr>
        <w:ilvl w:val="1"/>
        <w:numId w:val="1"/>
      </w:numPr>
      <w:spacing w:before="40" w:after="0"/>
      <w:outlineLvl w:val="1"/>
    </w:pPr>
    <w:rPr>
      <w:rFonts w:eastAsiaTheme="majorEastAsia"/>
      <w:b/>
    </w:rPr>
  </w:style>
  <w:style w:type="paragraph" w:styleId="Heading3">
    <w:name w:val="heading 3"/>
    <w:basedOn w:val="Normal"/>
    <w:next w:val="Normal"/>
    <w:link w:val="Heading3Char"/>
    <w:uiPriority w:val="9"/>
    <w:unhideWhenUsed/>
    <w:qFormat/>
    <w:rsid w:val="00367E78"/>
    <w:pPr>
      <w:keepNext/>
      <w:keepLines/>
      <w:numPr>
        <w:ilvl w:val="2"/>
        <w:numId w:val="1"/>
      </w:numPr>
      <w:spacing w:before="40" w:after="0"/>
      <w:outlineLvl w:val="2"/>
    </w:pPr>
    <w:rPr>
      <w:rFonts w:eastAsiaTheme="majorEastAsia"/>
      <w:color w:val="1F3763" w:themeColor="accent1" w:themeShade="7F"/>
      <w:szCs w:val="24"/>
    </w:rPr>
  </w:style>
  <w:style w:type="paragraph" w:styleId="Heading4">
    <w:name w:val="heading 4"/>
    <w:basedOn w:val="Normal"/>
    <w:next w:val="Normal"/>
    <w:link w:val="Heading4Char"/>
    <w:uiPriority w:val="9"/>
    <w:semiHidden/>
    <w:unhideWhenUsed/>
    <w:qFormat/>
    <w:rsid w:val="00B06694"/>
    <w:pPr>
      <w:keepNext/>
      <w:keepLines/>
      <w:numPr>
        <w:ilvl w:val="3"/>
        <w:numId w:val="1"/>
      </w:numPr>
      <w:spacing w:before="40" w:after="0"/>
      <w:outlineLvl w:val="3"/>
    </w:pPr>
    <w:rPr>
      <w:rFonts w:asciiTheme="majorHAnsi" w:eastAsiaTheme="majorEastAsia" w:hAnsiTheme="majorHAnsi"/>
      <w:i/>
      <w:iCs/>
      <w:color w:val="2F5496" w:themeColor="accent1" w:themeShade="BF"/>
    </w:rPr>
  </w:style>
  <w:style w:type="paragraph" w:styleId="Heading5">
    <w:name w:val="heading 5"/>
    <w:basedOn w:val="Normal"/>
    <w:next w:val="Normal"/>
    <w:link w:val="Heading5Char"/>
    <w:uiPriority w:val="9"/>
    <w:semiHidden/>
    <w:unhideWhenUsed/>
    <w:qFormat/>
    <w:rsid w:val="00B06694"/>
    <w:pPr>
      <w:keepNext/>
      <w:keepLines/>
      <w:numPr>
        <w:ilvl w:val="4"/>
        <w:numId w:val="1"/>
      </w:numPr>
      <w:spacing w:before="40" w:after="0"/>
      <w:outlineLvl w:val="4"/>
    </w:pPr>
    <w:rPr>
      <w:rFonts w:asciiTheme="majorHAnsi" w:eastAsiaTheme="majorEastAsia" w:hAnsiTheme="majorHAnsi"/>
      <w:color w:val="2F5496" w:themeColor="accent1" w:themeShade="BF"/>
    </w:rPr>
  </w:style>
  <w:style w:type="paragraph" w:styleId="Heading6">
    <w:name w:val="heading 6"/>
    <w:basedOn w:val="Normal"/>
    <w:next w:val="Normal"/>
    <w:link w:val="Heading6Char"/>
    <w:uiPriority w:val="9"/>
    <w:semiHidden/>
    <w:unhideWhenUsed/>
    <w:qFormat/>
    <w:rsid w:val="00B06694"/>
    <w:pPr>
      <w:keepNext/>
      <w:keepLines/>
      <w:numPr>
        <w:ilvl w:val="5"/>
        <w:numId w:val="1"/>
      </w:numPr>
      <w:spacing w:before="40" w:after="0"/>
      <w:outlineLvl w:val="5"/>
    </w:pPr>
    <w:rPr>
      <w:rFonts w:asciiTheme="majorHAnsi" w:eastAsiaTheme="majorEastAsia" w:hAnsiTheme="majorHAnsi"/>
      <w:color w:val="1F3763" w:themeColor="accent1" w:themeShade="7F"/>
    </w:rPr>
  </w:style>
  <w:style w:type="paragraph" w:styleId="Heading7">
    <w:name w:val="heading 7"/>
    <w:basedOn w:val="Normal"/>
    <w:next w:val="Normal"/>
    <w:link w:val="Heading7Char"/>
    <w:uiPriority w:val="9"/>
    <w:semiHidden/>
    <w:unhideWhenUsed/>
    <w:qFormat/>
    <w:rsid w:val="00B06694"/>
    <w:pPr>
      <w:keepNext/>
      <w:keepLines/>
      <w:numPr>
        <w:ilvl w:val="6"/>
        <w:numId w:val="1"/>
      </w:numPr>
      <w:spacing w:before="40" w:after="0"/>
      <w:outlineLvl w:val="6"/>
    </w:pPr>
    <w:rPr>
      <w:rFonts w:asciiTheme="majorHAnsi" w:eastAsiaTheme="majorEastAsia" w:hAnsiTheme="majorHAnsi"/>
      <w:i/>
      <w:iCs/>
      <w:color w:val="1F3763" w:themeColor="accent1" w:themeShade="7F"/>
    </w:rPr>
  </w:style>
  <w:style w:type="paragraph" w:styleId="Heading8">
    <w:name w:val="heading 8"/>
    <w:basedOn w:val="Normal"/>
    <w:next w:val="Normal"/>
    <w:link w:val="Heading8Char"/>
    <w:uiPriority w:val="9"/>
    <w:semiHidden/>
    <w:unhideWhenUsed/>
    <w:qFormat/>
    <w:rsid w:val="00B06694"/>
    <w:pPr>
      <w:keepNext/>
      <w:keepLines/>
      <w:numPr>
        <w:ilvl w:val="7"/>
        <w:numId w:val="1"/>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B06694"/>
    <w:pPr>
      <w:keepNext/>
      <w:keepLines/>
      <w:numPr>
        <w:ilvl w:val="8"/>
        <w:numId w:val="1"/>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EA4"/>
    <w:rPr>
      <w:rFonts w:eastAsiaTheme="majorEastAsia"/>
      <w:b/>
      <w:color w:val="auto"/>
      <w:sz w:val="32"/>
      <w:szCs w:val="32"/>
    </w:rPr>
  </w:style>
  <w:style w:type="character" w:customStyle="1" w:styleId="Heading2Char">
    <w:name w:val="Heading 2 Char"/>
    <w:basedOn w:val="DefaultParagraphFont"/>
    <w:link w:val="Heading2"/>
    <w:uiPriority w:val="9"/>
    <w:rsid w:val="00644A13"/>
    <w:rPr>
      <w:rFonts w:eastAsiaTheme="majorEastAsia"/>
      <w:b/>
      <w:color w:val="000000" w:themeColor="text1"/>
      <w:sz w:val="24"/>
    </w:rPr>
  </w:style>
  <w:style w:type="character" w:customStyle="1" w:styleId="Heading3Char">
    <w:name w:val="Heading 3 Char"/>
    <w:basedOn w:val="DefaultParagraphFont"/>
    <w:link w:val="Heading3"/>
    <w:uiPriority w:val="9"/>
    <w:rsid w:val="00367E78"/>
    <w:rPr>
      <w:rFonts w:eastAsiaTheme="majorEastAsia"/>
      <w:color w:val="1F3763" w:themeColor="accent1" w:themeShade="7F"/>
      <w:sz w:val="24"/>
      <w:szCs w:val="24"/>
    </w:rPr>
  </w:style>
  <w:style w:type="character" w:customStyle="1" w:styleId="Heading4Char">
    <w:name w:val="Heading 4 Char"/>
    <w:basedOn w:val="DefaultParagraphFont"/>
    <w:link w:val="Heading4"/>
    <w:uiPriority w:val="9"/>
    <w:semiHidden/>
    <w:rsid w:val="00B06694"/>
    <w:rPr>
      <w:rFonts w:asciiTheme="majorHAnsi" w:eastAsiaTheme="majorEastAsia" w:hAnsiTheme="majorHAnsi"/>
      <w:i/>
      <w:iCs/>
      <w:sz w:val="24"/>
    </w:rPr>
  </w:style>
  <w:style w:type="character" w:customStyle="1" w:styleId="Heading5Char">
    <w:name w:val="Heading 5 Char"/>
    <w:basedOn w:val="DefaultParagraphFont"/>
    <w:link w:val="Heading5"/>
    <w:uiPriority w:val="9"/>
    <w:semiHidden/>
    <w:rsid w:val="00B06694"/>
    <w:rPr>
      <w:rFonts w:asciiTheme="majorHAnsi" w:eastAsiaTheme="majorEastAsia" w:hAnsiTheme="majorHAnsi"/>
      <w:sz w:val="24"/>
    </w:rPr>
  </w:style>
  <w:style w:type="character" w:customStyle="1" w:styleId="Heading6Char">
    <w:name w:val="Heading 6 Char"/>
    <w:basedOn w:val="DefaultParagraphFont"/>
    <w:link w:val="Heading6"/>
    <w:uiPriority w:val="9"/>
    <w:semiHidden/>
    <w:rsid w:val="00B06694"/>
    <w:rPr>
      <w:rFonts w:asciiTheme="majorHAnsi" w:eastAsiaTheme="majorEastAsia" w:hAnsiTheme="majorHAnsi"/>
      <w:color w:val="1F3763" w:themeColor="accent1" w:themeShade="7F"/>
      <w:sz w:val="24"/>
    </w:rPr>
  </w:style>
  <w:style w:type="character" w:customStyle="1" w:styleId="Heading7Char">
    <w:name w:val="Heading 7 Char"/>
    <w:basedOn w:val="DefaultParagraphFont"/>
    <w:link w:val="Heading7"/>
    <w:uiPriority w:val="9"/>
    <w:semiHidden/>
    <w:rsid w:val="00B06694"/>
    <w:rPr>
      <w:rFonts w:asciiTheme="majorHAnsi" w:eastAsiaTheme="majorEastAsia" w:hAnsiTheme="majorHAnsi"/>
      <w:i/>
      <w:iCs/>
      <w:color w:val="1F3763" w:themeColor="accent1" w:themeShade="7F"/>
      <w:sz w:val="24"/>
    </w:rPr>
  </w:style>
  <w:style w:type="character" w:customStyle="1" w:styleId="Heading8Char">
    <w:name w:val="Heading 8 Char"/>
    <w:basedOn w:val="DefaultParagraphFont"/>
    <w:link w:val="Heading8"/>
    <w:uiPriority w:val="9"/>
    <w:semiHidden/>
    <w:rsid w:val="00B06694"/>
    <w:rPr>
      <w:rFonts w:asciiTheme="majorHAnsi" w:eastAsiaTheme="majorEastAsia" w:hAnsiTheme="majorHAnsi"/>
      <w:color w:val="272727" w:themeColor="text1" w:themeTint="D8"/>
      <w:sz w:val="21"/>
      <w:szCs w:val="21"/>
    </w:rPr>
  </w:style>
  <w:style w:type="character" w:customStyle="1" w:styleId="Heading9Char">
    <w:name w:val="Heading 9 Char"/>
    <w:basedOn w:val="DefaultParagraphFont"/>
    <w:link w:val="Heading9"/>
    <w:uiPriority w:val="9"/>
    <w:semiHidden/>
    <w:rsid w:val="00B06694"/>
    <w:rPr>
      <w:rFonts w:asciiTheme="majorHAnsi" w:eastAsiaTheme="majorEastAsia" w:hAnsiTheme="majorHAnsi"/>
      <w:i/>
      <w:iCs/>
      <w:color w:val="272727" w:themeColor="text1" w:themeTint="D8"/>
      <w:sz w:val="21"/>
      <w:szCs w:val="21"/>
    </w:rPr>
  </w:style>
  <w:style w:type="paragraph" w:styleId="Title">
    <w:name w:val="Title"/>
    <w:basedOn w:val="Normal"/>
    <w:next w:val="Normal"/>
    <w:link w:val="TitleChar"/>
    <w:uiPriority w:val="10"/>
    <w:qFormat/>
    <w:rsid w:val="00B06694"/>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06694"/>
    <w:rPr>
      <w:rFonts w:asciiTheme="majorHAnsi" w:eastAsiaTheme="majorEastAsia" w:hAnsiTheme="majorHAnsi"/>
      <w:color w:val="000000" w:themeColor="text1"/>
      <w:spacing w:val="-10"/>
      <w:kern w:val="28"/>
      <w:sz w:val="56"/>
      <w:szCs w:val="56"/>
    </w:rPr>
  </w:style>
  <w:style w:type="table" w:styleId="TableGrid">
    <w:name w:val="Table Grid"/>
    <w:basedOn w:val="TableNormal"/>
    <w:uiPriority w:val="39"/>
    <w:rsid w:val="00B0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7346"/>
    <w:pPr>
      <w:spacing w:before="100" w:beforeAutospacing="1" w:after="100" w:afterAutospacing="1" w:line="240" w:lineRule="auto"/>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D41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CAD"/>
    <w:rPr>
      <w:color w:val="000000" w:themeColor="text1"/>
      <w:sz w:val="24"/>
    </w:rPr>
  </w:style>
  <w:style w:type="paragraph" w:styleId="Footer">
    <w:name w:val="footer"/>
    <w:basedOn w:val="Normal"/>
    <w:link w:val="FooterChar"/>
    <w:uiPriority w:val="99"/>
    <w:unhideWhenUsed/>
    <w:rsid w:val="00D41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CAD"/>
    <w:rPr>
      <w:color w:val="000000" w:themeColor="text1"/>
      <w:sz w:val="24"/>
    </w:rPr>
  </w:style>
  <w:style w:type="character" w:styleId="PlaceholderText">
    <w:name w:val="Placeholder Text"/>
    <w:basedOn w:val="DefaultParagraphFont"/>
    <w:uiPriority w:val="99"/>
    <w:semiHidden/>
    <w:rsid w:val="00D41CAD"/>
    <w:rPr>
      <w:color w:val="808080"/>
    </w:rPr>
  </w:style>
  <w:style w:type="paragraph" w:styleId="BalloonText">
    <w:name w:val="Balloon Text"/>
    <w:basedOn w:val="Normal"/>
    <w:link w:val="BalloonTextChar"/>
    <w:uiPriority w:val="99"/>
    <w:semiHidden/>
    <w:unhideWhenUsed/>
    <w:rsid w:val="00BD4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E73"/>
    <w:rPr>
      <w:rFonts w:ascii="Segoe UI" w:hAnsi="Segoe UI" w:cs="Segoe UI"/>
      <w:color w:val="000000" w:themeColor="text1"/>
      <w:sz w:val="18"/>
      <w:szCs w:val="18"/>
    </w:rPr>
  </w:style>
  <w:style w:type="paragraph" w:styleId="ListParagraph">
    <w:name w:val="List Paragraph"/>
    <w:basedOn w:val="Normal"/>
    <w:uiPriority w:val="34"/>
    <w:qFormat/>
    <w:rsid w:val="00D168C2"/>
    <w:pPr>
      <w:ind w:left="720"/>
      <w:contextualSpacing/>
    </w:pPr>
  </w:style>
  <w:style w:type="character" w:styleId="CommentReference">
    <w:name w:val="annotation reference"/>
    <w:basedOn w:val="DefaultParagraphFont"/>
    <w:uiPriority w:val="99"/>
    <w:semiHidden/>
    <w:unhideWhenUsed/>
    <w:rsid w:val="00680A68"/>
    <w:rPr>
      <w:sz w:val="16"/>
      <w:szCs w:val="16"/>
    </w:rPr>
  </w:style>
  <w:style w:type="paragraph" w:styleId="CommentText">
    <w:name w:val="annotation text"/>
    <w:basedOn w:val="Normal"/>
    <w:link w:val="CommentTextChar"/>
    <w:uiPriority w:val="99"/>
    <w:unhideWhenUsed/>
    <w:rsid w:val="00680A68"/>
    <w:pPr>
      <w:spacing w:line="240" w:lineRule="auto"/>
    </w:pPr>
    <w:rPr>
      <w:sz w:val="20"/>
      <w:szCs w:val="20"/>
    </w:rPr>
  </w:style>
  <w:style w:type="character" w:customStyle="1" w:styleId="CommentTextChar">
    <w:name w:val="Comment Text Char"/>
    <w:basedOn w:val="DefaultParagraphFont"/>
    <w:link w:val="CommentText"/>
    <w:uiPriority w:val="99"/>
    <w:rsid w:val="00680A68"/>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80A68"/>
    <w:rPr>
      <w:b/>
      <w:bCs/>
    </w:rPr>
  </w:style>
  <w:style w:type="character" w:customStyle="1" w:styleId="CommentSubjectChar">
    <w:name w:val="Comment Subject Char"/>
    <w:basedOn w:val="CommentTextChar"/>
    <w:link w:val="CommentSubject"/>
    <w:uiPriority w:val="99"/>
    <w:semiHidden/>
    <w:rsid w:val="00680A68"/>
    <w:rPr>
      <w:b/>
      <w:bCs/>
      <w:color w:val="000000" w:themeColor="text1"/>
      <w:sz w:val="20"/>
      <w:szCs w:val="20"/>
    </w:rPr>
  </w:style>
  <w:style w:type="character" w:styleId="Strong">
    <w:name w:val="Strong"/>
    <w:basedOn w:val="DefaultParagraphFont"/>
    <w:uiPriority w:val="22"/>
    <w:qFormat/>
    <w:rsid w:val="005F771C"/>
    <w:rPr>
      <w:b/>
      <w:bCs/>
    </w:rPr>
  </w:style>
  <w:style w:type="character" w:styleId="Hyperlink">
    <w:name w:val="Hyperlink"/>
    <w:basedOn w:val="DefaultParagraphFont"/>
    <w:uiPriority w:val="99"/>
    <w:unhideWhenUsed/>
    <w:rsid w:val="005F771C"/>
    <w:rPr>
      <w:color w:val="0000FF"/>
      <w:u w:val="single"/>
    </w:rPr>
  </w:style>
  <w:style w:type="character" w:styleId="UnresolvedMention">
    <w:name w:val="Unresolved Mention"/>
    <w:basedOn w:val="DefaultParagraphFont"/>
    <w:uiPriority w:val="99"/>
    <w:semiHidden/>
    <w:unhideWhenUsed/>
    <w:rsid w:val="00DC6690"/>
    <w:rPr>
      <w:color w:val="808080"/>
      <w:shd w:val="clear" w:color="auto" w:fill="E6E6E6"/>
    </w:rPr>
  </w:style>
  <w:style w:type="character" w:styleId="FollowedHyperlink">
    <w:name w:val="FollowedHyperlink"/>
    <w:basedOn w:val="DefaultParagraphFont"/>
    <w:uiPriority w:val="99"/>
    <w:semiHidden/>
    <w:unhideWhenUsed/>
    <w:rsid w:val="002E2EFC"/>
    <w:rPr>
      <w:color w:val="954F72" w:themeColor="followedHyperlink"/>
      <w:u w:val="single"/>
    </w:rPr>
  </w:style>
  <w:style w:type="paragraph" w:styleId="FootnoteText">
    <w:name w:val="footnote text"/>
    <w:basedOn w:val="Normal"/>
    <w:link w:val="FootnoteTextChar"/>
    <w:uiPriority w:val="99"/>
    <w:semiHidden/>
    <w:unhideWhenUsed/>
    <w:rsid w:val="00C02B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B8B"/>
    <w:rPr>
      <w:color w:val="000000" w:themeColor="text1"/>
      <w:sz w:val="20"/>
      <w:szCs w:val="20"/>
    </w:rPr>
  </w:style>
  <w:style w:type="character" w:styleId="FootnoteReference">
    <w:name w:val="footnote reference"/>
    <w:basedOn w:val="DefaultParagraphFont"/>
    <w:uiPriority w:val="99"/>
    <w:semiHidden/>
    <w:unhideWhenUsed/>
    <w:rsid w:val="00C02B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339">
      <w:bodyDiv w:val="1"/>
      <w:marLeft w:val="0"/>
      <w:marRight w:val="0"/>
      <w:marTop w:val="0"/>
      <w:marBottom w:val="0"/>
      <w:divBdr>
        <w:top w:val="none" w:sz="0" w:space="0" w:color="auto"/>
        <w:left w:val="none" w:sz="0" w:space="0" w:color="auto"/>
        <w:bottom w:val="none" w:sz="0" w:space="0" w:color="auto"/>
        <w:right w:val="none" w:sz="0" w:space="0" w:color="auto"/>
      </w:divBdr>
    </w:div>
    <w:div w:id="27537098">
      <w:bodyDiv w:val="1"/>
      <w:marLeft w:val="0"/>
      <w:marRight w:val="0"/>
      <w:marTop w:val="0"/>
      <w:marBottom w:val="0"/>
      <w:divBdr>
        <w:top w:val="none" w:sz="0" w:space="0" w:color="auto"/>
        <w:left w:val="none" w:sz="0" w:space="0" w:color="auto"/>
        <w:bottom w:val="none" w:sz="0" w:space="0" w:color="auto"/>
        <w:right w:val="none" w:sz="0" w:space="0" w:color="auto"/>
      </w:divBdr>
    </w:div>
    <w:div w:id="90903806">
      <w:bodyDiv w:val="1"/>
      <w:marLeft w:val="0"/>
      <w:marRight w:val="0"/>
      <w:marTop w:val="0"/>
      <w:marBottom w:val="0"/>
      <w:divBdr>
        <w:top w:val="none" w:sz="0" w:space="0" w:color="auto"/>
        <w:left w:val="none" w:sz="0" w:space="0" w:color="auto"/>
        <w:bottom w:val="none" w:sz="0" w:space="0" w:color="auto"/>
        <w:right w:val="none" w:sz="0" w:space="0" w:color="auto"/>
      </w:divBdr>
    </w:div>
    <w:div w:id="169486088">
      <w:bodyDiv w:val="1"/>
      <w:marLeft w:val="0"/>
      <w:marRight w:val="0"/>
      <w:marTop w:val="0"/>
      <w:marBottom w:val="0"/>
      <w:divBdr>
        <w:top w:val="none" w:sz="0" w:space="0" w:color="auto"/>
        <w:left w:val="none" w:sz="0" w:space="0" w:color="auto"/>
        <w:bottom w:val="none" w:sz="0" w:space="0" w:color="auto"/>
        <w:right w:val="none" w:sz="0" w:space="0" w:color="auto"/>
      </w:divBdr>
    </w:div>
    <w:div w:id="191577546">
      <w:bodyDiv w:val="1"/>
      <w:marLeft w:val="0"/>
      <w:marRight w:val="0"/>
      <w:marTop w:val="0"/>
      <w:marBottom w:val="0"/>
      <w:divBdr>
        <w:top w:val="none" w:sz="0" w:space="0" w:color="auto"/>
        <w:left w:val="none" w:sz="0" w:space="0" w:color="auto"/>
        <w:bottom w:val="none" w:sz="0" w:space="0" w:color="auto"/>
        <w:right w:val="none" w:sz="0" w:space="0" w:color="auto"/>
      </w:divBdr>
    </w:div>
    <w:div w:id="221330333">
      <w:bodyDiv w:val="1"/>
      <w:marLeft w:val="0"/>
      <w:marRight w:val="0"/>
      <w:marTop w:val="0"/>
      <w:marBottom w:val="0"/>
      <w:divBdr>
        <w:top w:val="none" w:sz="0" w:space="0" w:color="auto"/>
        <w:left w:val="none" w:sz="0" w:space="0" w:color="auto"/>
        <w:bottom w:val="none" w:sz="0" w:space="0" w:color="auto"/>
        <w:right w:val="none" w:sz="0" w:space="0" w:color="auto"/>
      </w:divBdr>
    </w:div>
    <w:div w:id="285963435">
      <w:bodyDiv w:val="1"/>
      <w:marLeft w:val="0"/>
      <w:marRight w:val="0"/>
      <w:marTop w:val="0"/>
      <w:marBottom w:val="0"/>
      <w:divBdr>
        <w:top w:val="none" w:sz="0" w:space="0" w:color="auto"/>
        <w:left w:val="none" w:sz="0" w:space="0" w:color="auto"/>
        <w:bottom w:val="none" w:sz="0" w:space="0" w:color="auto"/>
        <w:right w:val="none" w:sz="0" w:space="0" w:color="auto"/>
      </w:divBdr>
    </w:div>
    <w:div w:id="387143838">
      <w:bodyDiv w:val="1"/>
      <w:marLeft w:val="0"/>
      <w:marRight w:val="0"/>
      <w:marTop w:val="0"/>
      <w:marBottom w:val="0"/>
      <w:divBdr>
        <w:top w:val="none" w:sz="0" w:space="0" w:color="auto"/>
        <w:left w:val="none" w:sz="0" w:space="0" w:color="auto"/>
        <w:bottom w:val="none" w:sz="0" w:space="0" w:color="auto"/>
        <w:right w:val="none" w:sz="0" w:space="0" w:color="auto"/>
      </w:divBdr>
    </w:div>
    <w:div w:id="407845715">
      <w:bodyDiv w:val="1"/>
      <w:marLeft w:val="0"/>
      <w:marRight w:val="0"/>
      <w:marTop w:val="0"/>
      <w:marBottom w:val="0"/>
      <w:divBdr>
        <w:top w:val="none" w:sz="0" w:space="0" w:color="auto"/>
        <w:left w:val="none" w:sz="0" w:space="0" w:color="auto"/>
        <w:bottom w:val="none" w:sz="0" w:space="0" w:color="auto"/>
        <w:right w:val="none" w:sz="0" w:space="0" w:color="auto"/>
      </w:divBdr>
    </w:div>
    <w:div w:id="434252826">
      <w:bodyDiv w:val="1"/>
      <w:marLeft w:val="0"/>
      <w:marRight w:val="0"/>
      <w:marTop w:val="0"/>
      <w:marBottom w:val="0"/>
      <w:divBdr>
        <w:top w:val="none" w:sz="0" w:space="0" w:color="auto"/>
        <w:left w:val="none" w:sz="0" w:space="0" w:color="auto"/>
        <w:bottom w:val="none" w:sz="0" w:space="0" w:color="auto"/>
        <w:right w:val="none" w:sz="0" w:space="0" w:color="auto"/>
      </w:divBdr>
    </w:div>
    <w:div w:id="441414491">
      <w:bodyDiv w:val="1"/>
      <w:marLeft w:val="0"/>
      <w:marRight w:val="0"/>
      <w:marTop w:val="0"/>
      <w:marBottom w:val="0"/>
      <w:divBdr>
        <w:top w:val="none" w:sz="0" w:space="0" w:color="auto"/>
        <w:left w:val="none" w:sz="0" w:space="0" w:color="auto"/>
        <w:bottom w:val="none" w:sz="0" w:space="0" w:color="auto"/>
        <w:right w:val="none" w:sz="0" w:space="0" w:color="auto"/>
      </w:divBdr>
    </w:div>
    <w:div w:id="487794123">
      <w:bodyDiv w:val="1"/>
      <w:marLeft w:val="0"/>
      <w:marRight w:val="0"/>
      <w:marTop w:val="0"/>
      <w:marBottom w:val="0"/>
      <w:divBdr>
        <w:top w:val="none" w:sz="0" w:space="0" w:color="auto"/>
        <w:left w:val="none" w:sz="0" w:space="0" w:color="auto"/>
        <w:bottom w:val="none" w:sz="0" w:space="0" w:color="auto"/>
        <w:right w:val="none" w:sz="0" w:space="0" w:color="auto"/>
      </w:divBdr>
    </w:div>
    <w:div w:id="526140893">
      <w:bodyDiv w:val="1"/>
      <w:marLeft w:val="0"/>
      <w:marRight w:val="0"/>
      <w:marTop w:val="0"/>
      <w:marBottom w:val="0"/>
      <w:divBdr>
        <w:top w:val="none" w:sz="0" w:space="0" w:color="auto"/>
        <w:left w:val="none" w:sz="0" w:space="0" w:color="auto"/>
        <w:bottom w:val="none" w:sz="0" w:space="0" w:color="auto"/>
        <w:right w:val="none" w:sz="0" w:space="0" w:color="auto"/>
      </w:divBdr>
    </w:div>
    <w:div w:id="529609654">
      <w:bodyDiv w:val="1"/>
      <w:marLeft w:val="0"/>
      <w:marRight w:val="0"/>
      <w:marTop w:val="0"/>
      <w:marBottom w:val="0"/>
      <w:divBdr>
        <w:top w:val="none" w:sz="0" w:space="0" w:color="auto"/>
        <w:left w:val="none" w:sz="0" w:space="0" w:color="auto"/>
        <w:bottom w:val="none" w:sz="0" w:space="0" w:color="auto"/>
        <w:right w:val="none" w:sz="0" w:space="0" w:color="auto"/>
      </w:divBdr>
    </w:div>
    <w:div w:id="533273793">
      <w:bodyDiv w:val="1"/>
      <w:marLeft w:val="0"/>
      <w:marRight w:val="0"/>
      <w:marTop w:val="0"/>
      <w:marBottom w:val="0"/>
      <w:divBdr>
        <w:top w:val="none" w:sz="0" w:space="0" w:color="auto"/>
        <w:left w:val="none" w:sz="0" w:space="0" w:color="auto"/>
        <w:bottom w:val="none" w:sz="0" w:space="0" w:color="auto"/>
        <w:right w:val="none" w:sz="0" w:space="0" w:color="auto"/>
      </w:divBdr>
    </w:div>
    <w:div w:id="545022313">
      <w:bodyDiv w:val="1"/>
      <w:marLeft w:val="0"/>
      <w:marRight w:val="0"/>
      <w:marTop w:val="0"/>
      <w:marBottom w:val="0"/>
      <w:divBdr>
        <w:top w:val="none" w:sz="0" w:space="0" w:color="auto"/>
        <w:left w:val="none" w:sz="0" w:space="0" w:color="auto"/>
        <w:bottom w:val="none" w:sz="0" w:space="0" w:color="auto"/>
        <w:right w:val="none" w:sz="0" w:space="0" w:color="auto"/>
      </w:divBdr>
    </w:div>
    <w:div w:id="563026946">
      <w:bodyDiv w:val="1"/>
      <w:marLeft w:val="0"/>
      <w:marRight w:val="0"/>
      <w:marTop w:val="0"/>
      <w:marBottom w:val="0"/>
      <w:divBdr>
        <w:top w:val="none" w:sz="0" w:space="0" w:color="auto"/>
        <w:left w:val="none" w:sz="0" w:space="0" w:color="auto"/>
        <w:bottom w:val="none" w:sz="0" w:space="0" w:color="auto"/>
        <w:right w:val="none" w:sz="0" w:space="0" w:color="auto"/>
      </w:divBdr>
    </w:div>
    <w:div w:id="579563938">
      <w:bodyDiv w:val="1"/>
      <w:marLeft w:val="0"/>
      <w:marRight w:val="0"/>
      <w:marTop w:val="0"/>
      <w:marBottom w:val="0"/>
      <w:divBdr>
        <w:top w:val="none" w:sz="0" w:space="0" w:color="auto"/>
        <w:left w:val="none" w:sz="0" w:space="0" w:color="auto"/>
        <w:bottom w:val="none" w:sz="0" w:space="0" w:color="auto"/>
        <w:right w:val="none" w:sz="0" w:space="0" w:color="auto"/>
      </w:divBdr>
    </w:div>
    <w:div w:id="589699456">
      <w:bodyDiv w:val="1"/>
      <w:marLeft w:val="0"/>
      <w:marRight w:val="0"/>
      <w:marTop w:val="0"/>
      <w:marBottom w:val="0"/>
      <w:divBdr>
        <w:top w:val="none" w:sz="0" w:space="0" w:color="auto"/>
        <w:left w:val="none" w:sz="0" w:space="0" w:color="auto"/>
        <w:bottom w:val="none" w:sz="0" w:space="0" w:color="auto"/>
        <w:right w:val="none" w:sz="0" w:space="0" w:color="auto"/>
      </w:divBdr>
    </w:div>
    <w:div w:id="642856841">
      <w:bodyDiv w:val="1"/>
      <w:marLeft w:val="0"/>
      <w:marRight w:val="0"/>
      <w:marTop w:val="0"/>
      <w:marBottom w:val="0"/>
      <w:divBdr>
        <w:top w:val="none" w:sz="0" w:space="0" w:color="auto"/>
        <w:left w:val="none" w:sz="0" w:space="0" w:color="auto"/>
        <w:bottom w:val="none" w:sz="0" w:space="0" w:color="auto"/>
        <w:right w:val="none" w:sz="0" w:space="0" w:color="auto"/>
      </w:divBdr>
    </w:div>
    <w:div w:id="710811905">
      <w:bodyDiv w:val="1"/>
      <w:marLeft w:val="0"/>
      <w:marRight w:val="0"/>
      <w:marTop w:val="0"/>
      <w:marBottom w:val="0"/>
      <w:divBdr>
        <w:top w:val="none" w:sz="0" w:space="0" w:color="auto"/>
        <w:left w:val="none" w:sz="0" w:space="0" w:color="auto"/>
        <w:bottom w:val="none" w:sz="0" w:space="0" w:color="auto"/>
        <w:right w:val="none" w:sz="0" w:space="0" w:color="auto"/>
      </w:divBdr>
    </w:div>
    <w:div w:id="722750560">
      <w:bodyDiv w:val="1"/>
      <w:marLeft w:val="0"/>
      <w:marRight w:val="0"/>
      <w:marTop w:val="0"/>
      <w:marBottom w:val="0"/>
      <w:divBdr>
        <w:top w:val="none" w:sz="0" w:space="0" w:color="auto"/>
        <w:left w:val="none" w:sz="0" w:space="0" w:color="auto"/>
        <w:bottom w:val="none" w:sz="0" w:space="0" w:color="auto"/>
        <w:right w:val="none" w:sz="0" w:space="0" w:color="auto"/>
      </w:divBdr>
    </w:div>
    <w:div w:id="754591223">
      <w:bodyDiv w:val="1"/>
      <w:marLeft w:val="0"/>
      <w:marRight w:val="0"/>
      <w:marTop w:val="0"/>
      <w:marBottom w:val="0"/>
      <w:divBdr>
        <w:top w:val="none" w:sz="0" w:space="0" w:color="auto"/>
        <w:left w:val="none" w:sz="0" w:space="0" w:color="auto"/>
        <w:bottom w:val="none" w:sz="0" w:space="0" w:color="auto"/>
        <w:right w:val="none" w:sz="0" w:space="0" w:color="auto"/>
      </w:divBdr>
    </w:div>
    <w:div w:id="806431683">
      <w:bodyDiv w:val="1"/>
      <w:marLeft w:val="0"/>
      <w:marRight w:val="0"/>
      <w:marTop w:val="0"/>
      <w:marBottom w:val="0"/>
      <w:divBdr>
        <w:top w:val="none" w:sz="0" w:space="0" w:color="auto"/>
        <w:left w:val="none" w:sz="0" w:space="0" w:color="auto"/>
        <w:bottom w:val="none" w:sz="0" w:space="0" w:color="auto"/>
        <w:right w:val="none" w:sz="0" w:space="0" w:color="auto"/>
      </w:divBdr>
    </w:div>
    <w:div w:id="858857521">
      <w:bodyDiv w:val="1"/>
      <w:marLeft w:val="0"/>
      <w:marRight w:val="0"/>
      <w:marTop w:val="0"/>
      <w:marBottom w:val="0"/>
      <w:divBdr>
        <w:top w:val="none" w:sz="0" w:space="0" w:color="auto"/>
        <w:left w:val="none" w:sz="0" w:space="0" w:color="auto"/>
        <w:bottom w:val="none" w:sz="0" w:space="0" w:color="auto"/>
        <w:right w:val="none" w:sz="0" w:space="0" w:color="auto"/>
      </w:divBdr>
    </w:div>
    <w:div w:id="920673075">
      <w:bodyDiv w:val="1"/>
      <w:marLeft w:val="0"/>
      <w:marRight w:val="0"/>
      <w:marTop w:val="0"/>
      <w:marBottom w:val="0"/>
      <w:divBdr>
        <w:top w:val="none" w:sz="0" w:space="0" w:color="auto"/>
        <w:left w:val="none" w:sz="0" w:space="0" w:color="auto"/>
        <w:bottom w:val="none" w:sz="0" w:space="0" w:color="auto"/>
        <w:right w:val="none" w:sz="0" w:space="0" w:color="auto"/>
      </w:divBdr>
    </w:div>
    <w:div w:id="932862050">
      <w:bodyDiv w:val="1"/>
      <w:marLeft w:val="0"/>
      <w:marRight w:val="0"/>
      <w:marTop w:val="0"/>
      <w:marBottom w:val="0"/>
      <w:divBdr>
        <w:top w:val="none" w:sz="0" w:space="0" w:color="auto"/>
        <w:left w:val="none" w:sz="0" w:space="0" w:color="auto"/>
        <w:bottom w:val="none" w:sz="0" w:space="0" w:color="auto"/>
        <w:right w:val="none" w:sz="0" w:space="0" w:color="auto"/>
      </w:divBdr>
    </w:div>
    <w:div w:id="938680577">
      <w:bodyDiv w:val="1"/>
      <w:marLeft w:val="0"/>
      <w:marRight w:val="0"/>
      <w:marTop w:val="0"/>
      <w:marBottom w:val="0"/>
      <w:divBdr>
        <w:top w:val="none" w:sz="0" w:space="0" w:color="auto"/>
        <w:left w:val="none" w:sz="0" w:space="0" w:color="auto"/>
        <w:bottom w:val="none" w:sz="0" w:space="0" w:color="auto"/>
        <w:right w:val="none" w:sz="0" w:space="0" w:color="auto"/>
      </w:divBdr>
    </w:div>
    <w:div w:id="957488998">
      <w:bodyDiv w:val="1"/>
      <w:marLeft w:val="0"/>
      <w:marRight w:val="0"/>
      <w:marTop w:val="0"/>
      <w:marBottom w:val="0"/>
      <w:divBdr>
        <w:top w:val="none" w:sz="0" w:space="0" w:color="auto"/>
        <w:left w:val="none" w:sz="0" w:space="0" w:color="auto"/>
        <w:bottom w:val="none" w:sz="0" w:space="0" w:color="auto"/>
        <w:right w:val="none" w:sz="0" w:space="0" w:color="auto"/>
      </w:divBdr>
    </w:div>
    <w:div w:id="1044911486">
      <w:bodyDiv w:val="1"/>
      <w:marLeft w:val="0"/>
      <w:marRight w:val="0"/>
      <w:marTop w:val="0"/>
      <w:marBottom w:val="0"/>
      <w:divBdr>
        <w:top w:val="none" w:sz="0" w:space="0" w:color="auto"/>
        <w:left w:val="none" w:sz="0" w:space="0" w:color="auto"/>
        <w:bottom w:val="none" w:sz="0" w:space="0" w:color="auto"/>
        <w:right w:val="none" w:sz="0" w:space="0" w:color="auto"/>
      </w:divBdr>
    </w:div>
    <w:div w:id="1106001636">
      <w:bodyDiv w:val="1"/>
      <w:marLeft w:val="0"/>
      <w:marRight w:val="0"/>
      <w:marTop w:val="0"/>
      <w:marBottom w:val="0"/>
      <w:divBdr>
        <w:top w:val="none" w:sz="0" w:space="0" w:color="auto"/>
        <w:left w:val="none" w:sz="0" w:space="0" w:color="auto"/>
        <w:bottom w:val="none" w:sz="0" w:space="0" w:color="auto"/>
        <w:right w:val="none" w:sz="0" w:space="0" w:color="auto"/>
      </w:divBdr>
    </w:div>
    <w:div w:id="1169057134">
      <w:bodyDiv w:val="1"/>
      <w:marLeft w:val="0"/>
      <w:marRight w:val="0"/>
      <w:marTop w:val="0"/>
      <w:marBottom w:val="0"/>
      <w:divBdr>
        <w:top w:val="none" w:sz="0" w:space="0" w:color="auto"/>
        <w:left w:val="none" w:sz="0" w:space="0" w:color="auto"/>
        <w:bottom w:val="none" w:sz="0" w:space="0" w:color="auto"/>
        <w:right w:val="none" w:sz="0" w:space="0" w:color="auto"/>
      </w:divBdr>
    </w:div>
    <w:div w:id="1385522629">
      <w:bodyDiv w:val="1"/>
      <w:marLeft w:val="0"/>
      <w:marRight w:val="0"/>
      <w:marTop w:val="0"/>
      <w:marBottom w:val="0"/>
      <w:divBdr>
        <w:top w:val="none" w:sz="0" w:space="0" w:color="auto"/>
        <w:left w:val="none" w:sz="0" w:space="0" w:color="auto"/>
        <w:bottom w:val="none" w:sz="0" w:space="0" w:color="auto"/>
        <w:right w:val="none" w:sz="0" w:space="0" w:color="auto"/>
      </w:divBdr>
    </w:div>
    <w:div w:id="1490755035">
      <w:bodyDiv w:val="1"/>
      <w:marLeft w:val="0"/>
      <w:marRight w:val="0"/>
      <w:marTop w:val="0"/>
      <w:marBottom w:val="0"/>
      <w:divBdr>
        <w:top w:val="none" w:sz="0" w:space="0" w:color="auto"/>
        <w:left w:val="none" w:sz="0" w:space="0" w:color="auto"/>
        <w:bottom w:val="none" w:sz="0" w:space="0" w:color="auto"/>
        <w:right w:val="none" w:sz="0" w:space="0" w:color="auto"/>
      </w:divBdr>
    </w:div>
    <w:div w:id="1518039375">
      <w:bodyDiv w:val="1"/>
      <w:marLeft w:val="0"/>
      <w:marRight w:val="0"/>
      <w:marTop w:val="0"/>
      <w:marBottom w:val="0"/>
      <w:divBdr>
        <w:top w:val="none" w:sz="0" w:space="0" w:color="auto"/>
        <w:left w:val="none" w:sz="0" w:space="0" w:color="auto"/>
        <w:bottom w:val="none" w:sz="0" w:space="0" w:color="auto"/>
        <w:right w:val="none" w:sz="0" w:space="0" w:color="auto"/>
      </w:divBdr>
    </w:div>
    <w:div w:id="1541480035">
      <w:bodyDiv w:val="1"/>
      <w:marLeft w:val="0"/>
      <w:marRight w:val="0"/>
      <w:marTop w:val="0"/>
      <w:marBottom w:val="0"/>
      <w:divBdr>
        <w:top w:val="none" w:sz="0" w:space="0" w:color="auto"/>
        <w:left w:val="none" w:sz="0" w:space="0" w:color="auto"/>
        <w:bottom w:val="none" w:sz="0" w:space="0" w:color="auto"/>
        <w:right w:val="none" w:sz="0" w:space="0" w:color="auto"/>
      </w:divBdr>
    </w:div>
    <w:div w:id="1587692266">
      <w:bodyDiv w:val="1"/>
      <w:marLeft w:val="0"/>
      <w:marRight w:val="0"/>
      <w:marTop w:val="0"/>
      <w:marBottom w:val="0"/>
      <w:divBdr>
        <w:top w:val="none" w:sz="0" w:space="0" w:color="auto"/>
        <w:left w:val="none" w:sz="0" w:space="0" w:color="auto"/>
        <w:bottom w:val="none" w:sz="0" w:space="0" w:color="auto"/>
        <w:right w:val="none" w:sz="0" w:space="0" w:color="auto"/>
      </w:divBdr>
    </w:div>
    <w:div w:id="1618757774">
      <w:bodyDiv w:val="1"/>
      <w:marLeft w:val="0"/>
      <w:marRight w:val="0"/>
      <w:marTop w:val="0"/>
      <w:marBottom w:val="0"/>
      <w:divBdr>
        <w:top w:val="none" w:sz="0" w:space="0" w:color="auto"/>
        <w:left w:val="none" w:sz="0" w:space="0" w:color="auto"/>
        <w:bottom w:val="none" w:sz="0" w:space="0" w:color="auto"/>
        <w:right w:val="none" w:sz="0" w:space="0" w:color="auto"/>
      </w:divBdr>
    </w:div>
    <w:div w:id="1770782879">
      <w:bodyDiv w:val="1"/>
      <w:marLeft w:val="0"/>
      <w:marRight w:val="0"/>
      <w:marTop w:val="0"/>
      <w:marBottom w:val="0"/>
      <w:divBdr>
        <w:top w:val="none" w:sz="0" w:space="0" w:color="auto"/>
        <w:left w:val="none" w:sz="0" w:space="0" w:color="auto"/>
        <w:bottom w:val="none" w:sz="0" w:space="0" w:color="auto"/>
        <w:right w:val="none" w:sz="0" w:space="0" w:color="auto"/>
      </w:divBdr>
    </w:div>
    <w:div w:id="1807888849">
      <w:bodyDiv w:val="1"/>
      <w:marLeft w:val="0"/>
      <w:marRight w:val="0"/>
      <w:marTop w:val="0"/>
      <w:marBottom w:val="0"/>
      <w:divBdr>
        <w:top w:val="none" w:sz="0" w:space="0" w:color="auto"/>
        <w:left w:val="none" w:sz="0" w:space="0" w:color="auto"/>
        <w:bottom w:val="none" w:sz="0" w:space="0" w:color="auto"/>
        <w:right w:val="none" w:sz="0" w:space="0" w:color="auto"/>
      </w:divBdr>
    </w:div>
    <w:div w:id="1876889754">
      <w:bodyDiv w:val="1"/>
      <w:marLeft w:val="0"/>
      <w:marRight w:val="0"/>
      <w:marTop w:val="0"/>
      <w:marBottom w:val="0"/>
      <w:divBdr>
        <w:top w:val="none" w:sz="0" w:space="0" w:color="auto"/>
        <w:left w:val="none" w:sz="0" w:space="0" w:color="auto"/>
        <w:bottom w:val="none" w:sz="0" w:space="0" w:color="auto"/>
        <w:right w:val="none" w:sz="0" w:space="0" w:color="auto"/>
      </w:divBdr>
    </w:div>
    <w:div w:id="1891305147">
      <w:bodyDiv w:val="1"/>
      <w:marLeft w:val="0"/>
      <w:marRight w:val="0"/>
      <w:marTop w:val="0"/>
      <w:marBottom w:val="0"/>
      <w:divBdr>
        <w:top w:val="none" w:sz="0" w:space="0" w:color="auto"/>
        <w:left w:val="none" w:sz="0" w:space="0" w:color="auto"/>
        <w:bottom w:val="none" w:sz="0" w:space="0" w:color="auto"/>
        <w:right w:val="none" w:sz="0" w:space="0" w:color="auto"/>
      </w:divBdr>
    </w:div>
    <w:div w:id="1943686104">
      <w:bodyDiv w:val="1"/>
      <w:marLeft w:val="0"/>
      <w:marRight w:val="0"/>
      <w:marTop w:val="0"/>
      <w:marBottom w:val="0"/>
      <w:divBdr>
        <w:top w:val="none" w:sz="0" w:space="0" w:color="auto"/>
        <w:left w:val="none" w:sz="0" w:space="0" w:color="auto"/>
        <w:bottom w:val="none" w:sz="0" w:space="0" w:color="auto"/>
        <w:right w:val="none" w:sz="0" w:space="0" w:color="auto"/>
      </w:divBdr>
    </w:div>
    <w:div w:id="1996495746">
      <w:bodyDiv w:val="1"/>
      <w:marLeft w:val="0"/>
      <w:marRight w:val="0"/>
      <w:marTop w:val="0"/>
      <w:marBottom w:val="0"/>
      <w:divBdr>
        <w:top w:val="none" w:sz="0" w:space="0" w:color="auto"/>
        <w:left w:val="none" w:sz="0" w:space="0" w:color="auto"/>
        <w:bottom w:val="none" w:sz="0" w:space="0" w:color="auto"/>
        <w:right w:val="none" w:sz="0" w:space="0" w:color="auto"/>
      </w:divBdr>
    </w:div>
    <w:div w:id="2089836746">
      <w:bodyDiv w:val="1"/>
      <w:marLeft w:val="0"/>
      <w:marRight w:val="0"/>
      <w:marTop w:val="0"/>
      <w:marBottom w:val="0"/>
      <w:divBdr>
        <w:top w:val="none" w:sz="0" w:space="0" w:color="auto"/>
        <w:left w:val="none" w:sz="0" w:space="0" w:color="auto"/>
        <w:bottom w:val="none" w:sz="0" w:space="0" w:color="auto"/>
        <w:right w:val="none" w:sz="0" w:space="0" w:color="auto"/>
      </w:divBdr>
    </w:div>
    <w:div w:id="2093308298">
      <w:bodyDiv w:val="1"/>
      <w:marLeft w:val="0"/>
      <w:marRight w:val="0"/>
      <w:marTop w:val="0"/>
      <w:marBottom w:val="0"/>
      <w:divBdr>
        <w:top w:val="none" w:sz="0" w:space="0" w:color="auto"/>
        <w:left w:val="none" w:sz="0" w:space="0" w:color="auto"/>
        <w:bottom w:val="none" w:sz="0" w:space="0" w:color="auto"/>
        <w:right w:val="none" w:sz="0" w:space="0" w:color="auto"/>
      </w:divBdr>
    </w:div>
    <w:div w:id="211694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5.xml"/><Relationship Id="rId39" Type="http://schemas.openxmlformats.org/officeDocument/2006/relationships/hyperlink" Target="https://www.bea.gov/data/economic-accounts/regional" TargetMode="External"/><Relationship Id="rId21" Type="http://schemas.openxmlformats.org/officeDocument/2006/relationships/chart" Target="charts/chart8.xml"/><Relationship Id="rId34" Type="http://schemas.openxmlformats.org/officeDocument/2006/relationships/hyperlink" Target="https://www.census.gov/programs-surveys/acs/" TargetMode="External"/><Relationship Id="rId42" Type="http://schemas.openxmlformats.org/officeDocument/2006/relationships/hyperlink" Target="https://www.frbatlanta.org/cqer/research/gdpnow.aspx" TargetMode="External"/><Relationship Id="rId47" Type="http://schemas.openxmlformats.org/officeDocument/2006/relationships/hyperlink" Target="https://www.bls.gov/data/" TargetMode="External"/><Relationship Id="rId50" Type="http://schemas.openxmlformats.org/officeDocument/2006/relationships/hyperlink" Target="https://www.mainerealtors.com/page/975-891/press-releases" TargetMode="External"/><Relationship Id="rId55" Type="http://schemas.openxmlformats.org/officeDocument/2006/relationships/hyperlink" Target="https://apps.bea.gov/regional/definitions/?regexp=&amp;key=371" TargetMode="External"/><Relationship Id="rId63" Type="http://schemas.openxmlformats.org/officeDocument/2006/relationships/hyperlink" Target="https://www.census.gov/topics/income-poverty/poverty/guidance/poverty-measures.html" TargetMode="External"/><Relationship Id="rId68" Type="http://schemas.openxmlformats.org/officeDocument/2006/relationships/hyperlink" Target="https://www.maine.gov/labor/cwri/aboutCES.html"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4.png"/><Relationship Id="rId32" Type="http://schemas.openxmlformats.org/officeDocument/2006/relationships/hyperlink" Target="https://www.census.gov/programs-surveys/popest.html" TargetMode="External"/><Relationship Id="rId37" Type="http://schemas.openxmlformats.org/officeDocument/2006/relationships/hyperlink" Target="https://www.bea.gov/data/economic-accounts/regional" TargetMode="External"/><Relationship Id="rId40" Type="http://schemas.openxmlformats.org/officeDocument/2006/relationships/hyperlink" Target="https://www.maine.gov/dafs/economist/economic-forecasting" TargetMode="External"/><Relationship Id="rId45" Type="http://schemas.openxmlformats.org/officeDocument/2006/relationships/hyperlink" Target="https://www.bea.gov/data/economic-accounts/regional" TargetMode="External"/><Relationship Id="rId53" Type="http://schemas.openxmlformats.org/officeDocument/2006/relationships/hyperlink" Target="https://tracktherecovery.org/" TargetMode="External"/><Relationship Id="rId58" Type="http://schemas.openxmlformats.org/officeDocument/2006/relationships/hyperlink" Target="https://www.bls.gov/bls/glossary.htm" TargetMode="External"/><Relationship Id="rId66" Type="http://schemas.openxmlformats.org/officeDocument/2006/relationships/hyperlink" Target="https://www.census.gov/glossary/" TargetMode="Externa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0.xml"/><Relationship Id="rId36" Type="http://schemas.openxmlformats.org/officeDocument/2006/relationships/hyperlink" Target="https://www.census.gov/programs-surveys/acs/" TargetMode="External"/><Relationship Id="rId49" Type="http://schemas.openxmlformats.org/officeDocument/2006/relationships/hyperlink" Target="https://www.fhfa.gov/DataTools/Downloads/Pages/House-Price-Index.aspx" TargetMode="External"/><Relationship Id="rId57" Type="http://schemas.openxmlformats.org/officeDocument/2006/relationships/hyperlink" Target="https://www.fhfa.gov/DataTools/Downloads/Pages/House-Price-Index.aspx" TargetMode="External"/><Relationship Id="rId61" Type="http://schemas.openxmlformats.org/officeDocument/2006/relationships/hyperlink" Target="https://apps.bea.gov/regional/definitions/?regexp=&amp;key=371" TargetMode="Externa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hyperlink" Target="https://www.census.gov/programs-surveys/popest.html" TargetMode="External"/><Relationship Id="rId44" Type="http://schemas.openxmlformats.org/officeDocument/2006/relationships/hyperlink" Target="https://fred.stlouisfed.org/series/SAHMREALTIME" TargetMode="External"/><Relationship Id="rId52" Type="http://schemas.openxmlformats.org/officeDocument/2006/relationships/hyperlink" Target="https://www.nfib.com/surveys/small-business-economic-trends/" TargetMode="External"/><Relationship Id="rId60" Type="http://schemas.openxmlformats.org/officeDocument/2006/relationships/hyperlink" Target="https://www.census.gov/glossary/" TargetMode="External"/><Relationship Id="rId65" Type="http://schemas.openxmlformats.org/officeDocument/2006/relationships/hyperlink" Target="https://www.dallasfed.org/research/econdata/rtwvd.aspx"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9.xml"/><Relationship Id="rId30" Type="http://schemas.openxmlformats.org/officeDocument/2006/relationships/image" Target="media/image6.png"/><Relationship Id="rId35" Type="http://schemas.openxmlformats.org/officeDocument/2006/relationships/hyperlink" Target="https://www.census.gov/programs-surveys/acs/" TargetMode="External"/><Relationship Id="rId43" Type="http://schemas.openxmlformats.org/officeDocument/2006/relationships/hyperlink" Target="https://fred.stlouisfed.org/series/JHGDPBRINDX" TargetMode="External"/><Relationship Id="rId48" Type="http://schemas.openxmlformats.org/officeDocument/2006/relationships/hyperlink" Target="https://www.bls.gov/data/" TargetMode="External"/><Relationship Id="rId56" Type="http://schemas.openxmlformats.org/officeDocument/2006/relationships/hyperlink" Target="https://apps.bea.gov/regional/definitions/?regexp=&amp;key=371" TargetMode="External"/><Relationship Id="rId64" Type="http://schemas.openxmlformats.org/officeDocument/2006/relationships/hyperlink" Target="https://www.census.gov/topics/income-poverty/poverty/guidance/poverty-measures.html" TargetMode="External"/><Relationship Id="rId69" Type="http://schemas.openxmlformats.org/officeDocument/2006/relationships/hyperlink" Target="https://www.bls.gov/bls/glossary.htm" TargetMode="External"/><Relationship Id="rId8" Type="http://schemas.openxmlformats.org/officeDocument/2006/relationships/webSettings" Target="webSettings.xml"/><Relationship Id="rId51" Type="http://schemas.openxmlformats.org/officeDocument/2006/relationships/hyperlink" Target="http://www.sca.isr.umich.edu/"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image" Target="media/image3.png"/><Relationship Id="rId25" Type="http://schemas.openxmlformats.org/officeDocument/2006/relationships/chart" Target="charts/chart11.xml"/><Relationship Id="rId33" Type="http://schemas.openxmlformats.org/officeDocument/2006/relationships/hyperlink" Target="https://www.census.gov/programs-surveys/popest.html" TargetMode="External"/><Relationship Id="rId38" Type="http://schemas.openxmlformats.org/officeDocument/2006/relationships/hyperlink" Target="https://www.bea.gov/data/economic-accounts/regional" TargetMode="External"/><Relationship Id="rId46" Type="http://schemas.openxmlformats.org/officeDocument/2006/relationships/hyperlink" Target="https://www.bls.gov/data/" TargetMode="External"/><Relationship Id="rId59" Type="http://schemas.openxmlformats.org/officeDocument/2006/relationships/hyperlink" Target="https://www.census.gov/glossary/" TargetMode="External"/><Relationship Id="rId67" Type="http://schemas.openxmlformats.org/officeDocument/2006/relationships/hyperlink" Target="https://www.census.gov/glossary/" TargetMode="External"/><Relationship Id="rId20" Type="http://schemas.openxmlformats.org/officeDocument/2006/relationships/chart" Target="charts/chart7.xml"/><Relationship Id="rId41" Type="http://schemas.openxmlformats.org/officeDocument/2006/relationships/hyperlink" Target="https://www.bea.gov/data/economic-accounts/regional" TargetMode="External"/><Relationship Id="rId54" Type="http://schemas.openxmlformats.org/officeDocument/2006/relationships/hyperlink" Target="https://usatrade.census.gov/" TargetMode="External"/><Relationship Id="rId62" Type="http://schemas.openxmlformats.org/officeDocument/2006/relationships/hyperlink" Target="https://apps.bea.gov/regional/definitions/?regexp=&amp;key=371" TargetMode="External"/><Relationship Id="rId70" Type="http://schemas.openxmlformats.org/officeDocument/2006/relationships/hyperlink" Target="https://apps.bea.gov/regional/definitions/?regexp=&amp;key=37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oit-teaqfsemc11.som.w2k.state.me.us\dafs-comm-common\State%20Economist\Economic%20Analyst\Economic%20Indicator%20Report\Data\VMT%20Data.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oit-teaqfsemc11.som.w2k.state.me.us\dafs-comm-common\State%20Economist\Economic%20Analyst\Economic%20Indicator%20Report\Data\Trade%20Outlook%20workbook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oit-teaqfsemc11.som.w2k.state.me.us\dafs-comm-common\State%20Economist\Economic%20Analyst\Economic%20Indicator%20Report\Data\GDP%20&amp;%20Heating%20Oil%20workbook%20A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oit-teaqfsemc11.som.w2k.state.me.us\dafs-comm-common\State%20Economist\Economic%20Analyst\Economic%20Indicator%20Report\Data\Labor%20Market%20Workbook%20A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oit-teaqfsemc11.som.w2k.state.me.us\dafs-comm-common\State%20Economist\Economic%20Analyst\Economic%20Indicator%20Report\Data\Labor%20Market%20Workbook%20A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oit-teaqfsemc11.som.w2k.state.me.us\dafs-comm-common\State%20Economist\Economic%20Analyst\Economic%20Indicator%20Report\Data\Labor%20Market%20Workbook%20AH.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oit-teaqfsemc11.som.w2k.state.me.us\dafs-comm-common\State%20Economist\Economic%20Analyst\Economic%20Indicator%20Report\Data\Housing%20workbook%20AH.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oit-teaqfsemc11.som.w2k.state.me.us\dafs-comm-common\State%20Economist\Economic%20Analyst\Economic%20Indicator%20Report\Data\Consumer%20senti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en-US"/>
              <a:t>Wage and Salary Employment Forecast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lineChart>
        <c:grouping val="standard"/>
        <c:varyColors val="0"/>
        <c:ser>
          <c:idx val="0"/>
          <c:order val="0"/>
          <c:tx>
            <c:strRef>
              <c:f>Sheet1!$A$2</c:f>
              <c:strCache>
                <c:ptCount val="1"/>
                <c:pt idx="0">
                  <c:v>Wage and Salary Employment</c:v>
                </c:pt>
              </c:strCache>
            </c:strRef>
          </c:tx>
          <c:spPr>
            <a:ln w="28575" cap="rnd">
              <a:solidFill>
                <a:schemeClr val="accent1"/>
              </a:solidFill>
              <a:round/>
            </a:ln>
            <a:effectLst/>
          </c:spPr>
          <c:marker>
            <c:symbol val="none"/>
          </c:marker>
          <c:cat>
            <c:numRef>
              <c:f>Sheet1!$B$1:$Q$1</c:f>
              <c:numCache>
                <c:formatCode>General</c:formatCode>
                <c:ptCount val="16"/>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numCache>
            </c:numRef>
          </c:cat>
          <c:val>
            <c:numRef>
              <c:f>Sheet1!$B$2:$Q$2</c:f>
              <c:numCache>
                <c:formatCode>General</c:formatCode>
                <c:ptCount val="16"/>
                <c:pt idx="0">
                  <c:v>593.36666666666656</c:v>
                </c:pt>
                <c:pt idx="1">
                  <c:v>594.85833333333335</c:v>
                </c:pt>
                <c:pt idx="2">
                  <c:v>598.49166666666667</c:v>
                </c:pt>
                <c:pt idx="3">
                  <c:v>602.08333333333337</c:v>
                </c:pt>
                <c:pt idx="4">
                  <c:v>605.66666666666663</c:v>
                </c:pt>
                <c:pt idx="5">
                  <c:v>611.02500000000009</c:v>
                </c:pt>
                <c:pt idx="6">
                  <c:v>618.48333333333335</c:v>
                </c:pt>
                <c:pt idx="7">
                  <c:v>623.95833333333337</c:v>
                </c:pt>
                <c:pt idx="8">
                  <c:v>630.34999999999991</c:v>
                </c:pt>
                <c:pt idx="9">
                  <c:v>636.0333333333333</c:v>
                </c:pt>
              </c:numCache>
            </c:numRef>
          </c:val>
          <c:smooth val="0"/>
          <c:extLst>
            <c:ext xmlns:c16="http://schemas.microsoft.com/office/drawing/2014/chart" uri="{C3380CC4-5D6E-409C-BE32-E72D297353CC}">
              <c16:uniqueId val="{00000000-D83D-4365-85D6-C4B34193ADC6}"/>
            </c:ext>
          </c:extLst>
        </c:ser>
        <c:ser>
          <c:idx val="1"/>
          <c:order val="1"/>
          <c:tx>
            <c:strRef>
              <c:f>Sheet1!$A$3</c:f>
              <c:strCache>
                <c:ptCount val="1"/>
              </c:strCache>
            </c:strRef>
          </c:tx>
          <c:spPr>
            <a:ln w="28575" cap="rnd">
              <a:solidFill>
                <a:schemeClr val="accent1"/>
              </a:solidFill>
              <a:prstDash val="sysDash"/>
              <a:round/>
            </a:ln>
            <a:effectLst/>
          </c:spPr>
          <c:marker>
            <c:symbol val="none"/>
          </c:marker>
          <c:val>
            <c:numRef>
              <c:f>Sheet1!$B$3:$Q$3</c:f>
              <c:numCache>
                <c:formatCode>General</c:formatCode>
                <c:ptCount val="16"/>
                <c:pt idx="9">
                  <c:v>636.0333333333333</c:v>
                </c:pt>
                <c:pt idx="10">
                  <c:v>585.16113504824841</c:v>
                </c:pt>
                <c:pt idx="11">
                  <c:v>608.55669922938239</c:v>
                </c:pt>
                <c:pt idx="12">
                  <c:v>620.727693131264</c:v>
                </c:pt>
                <c:pt idx="13">
                  <c:v>621.34798654345832</c:v>
                </c:pt>
                <c:pt idx="14">
                  <c:v>621.96042312958627</c:v>
                </c:pt>
                <c:pt idx="15">
                  <c:v>622.61745166488788</c:v>
                </c:pt>
              </c:numCache>
            </c:numRef>
          </c:val>
          <c:smooth val="0"/>
          <c:extLst>
            <c:ext xmlns:c16="http://schemas.microsoft.com/office/drawing/2014/chart" uri="{C3380CC4-5D6E-409C-BE32-E72D297353CC}">
              <c16:uniqueId val="{00000001-D83D-4365-85D6-C4B34193ADC6}"/>
            </c:ext>
          </c:extLst>
        </c:ser>
        <c:dLbls>
          <c:showLegendKey val="0"/>
          <c:showVal val="0"/>
          <c:showCatName val="0"/>
          <c:showSerName val="0"/>
          <c:showPercent val="0"/>
          <c:showBubbleSize val="0"/>
        </c:dLbls>
        <c:smooth val="0"/>
        <c:axId val="679037648"/>
        <c:axId val="679040272"/>
      </c:lineChart>
      <c:catAx>
        <c:axId val="67903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679040272"/>
        <c:crosses val="autoZero"/>
        <c:auto val="1"/>
        <c:lblAlgn val="ctr"/>
        <c:lblOffset val="100"/>
        <c:noMultiLvlLbl val="0"/>
      </c:catAx>
      <c:valAx>
        <c:axId val="67904027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US"/>
                  <a:t>Thousands of jobs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679037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Year-Over-Year % Change in Vehicle Miles Traveled</c:v>
                </c:pt>
              </c:strCache>
            </c:strRef>
          </c:tx>
          <c:spPr>
            <a:ln w="28575" cap="rnd">
              <a:solidFill>
                <a:schemeClr val="accent1"/>
              </a:solidFill>
              <a:round/>
            </a:ln>
            <a:effectLst/>
          </c:spPr>
          <c:marker>
            <c:symbol val="none"/>
          </c:marker>
          <c:dLbls>
            <c:dLbl>
              <c:idx val="32"/>
              <c:layout>
                <c:manualLayout>
                  <c:x val="-1.3580090035221325E-16"/>
                  <c:y val="5.197920831667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F4-4D4F-ABE6-CE0076AFD58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Sheet1!$A$2:$A$34</c:f>
              <c:strCache>
                <c:ptCount val="33"/>
                <c:pt idx="0">
                  <c:v>March Week 2</c:v>
                </c:pt>
                <c:pt idx="1">
                  <c:v>March Week 3</c:v>
                </c:pt>
                <c:pt idx="2">
                  <c:v>March Week 4</c:v>
                </c:pt>
                <c:pt idx="3">
                  <c:v>March Week 5</c:v>
                </c:pt>
                <c:pt idx="4">
                  <c:v>April Week 1</c:v>
                </c:pt>
                <c:pt idx="5">
                  <c:v>April Week 2</c:v>
                </c:pt>
                <c:pt idx="6">
                  <c:v>April Week 3</c:v>
                </c:pt>
                <c:pt idx="7">
                  <c:v>April Week 4</c:v>
                </c:pt>
                <c:pt idx="8">
                  <c:v>May Week 1</c:v>
                </c:pt>
                <c:pt idx="9">
                  <c:v>May Week 2</c:v>
                </c:pt>
                <c:pt idx="10">
                  <c:v>May Week 3</c:v>
                </c:pt>
                <c:pt idx="11">
                  <c:v>May Week 4</c:v>
                </c:pt>
                <c:pt idx="12">
                  <c:v>June Week 1</c:v>
                </c:pt>
                <c:pt idx="13">
                  <c:v>June Week 2</c:v>
                </c:pt>
                <c:pt idx="14">
                  <c:v>June Week 3</c:v>
                </c:pt>
                <c:pt idx="15">
                  <c:v>June Week 4</c:v>
                </c:pt>
                <c:pt idx="16">
                  <c:v>June Week 5</c:v>
                </c:pt>
                <c:pt idx="17">
                  <c:v>July Week 1</c:v>
                </c:pt>
                <c:pt idx="18">
                  <c:v>July Week 2</c:v>
                </c:pt>
                <c:pt idx="19">
                  <c:v>July Week 3</c:v>
                </c:pt>
                <c:pt idx="20">
                  <c:v>July Week 4</c:v>
                </c:pt>
                <c:pt idx="21">
                  <c:v>August Week 1</c:v>
                </c:pt>
                <c:pt idx="22">
                  <c:v>August Week 2</c:v>
                </c:pt>
                <c:pt idx="23">
                  <c:v>August Week 3</c:v>
                </c:pt>
                <c:pt idx="24">
                  <c:v>August Week 4</c:v>
                </c:pt>
                <c:pt idx="25">
                  <c:v>August Week 5</c:v>
                </c:pt>
                <c:pt idx="26">
                  <c:v>September Week 1</c:v>
                </c:pt>
                <c:pt idx="27">
                  <c:v>September Week 2</c:v>
                </c:pt>
                <c:pt idx="28">
                  <c:v>September Week 3</c:v>
                </c:pt>
                <c:pt idx="29">
                  <c:v>September Week 4</c:v>
                </c:pt>
                <c:pt idx="30">
                  <c:v>October Wk. 1</c:v>
                </c:pt>
                <c:pt idx="31">
                  <c:v>October Wk. 2</c:v>
                </c:pt>
                <c:pt idx="32">
                  <c:v>October Wk. 3</c:v>
                </c:pt>
              </c:strCache>
            </c:strRef>
          </c:cat>
          <c:val>
            <c:numRef>
              <c:f>Sheet1!$B$2:$B$34</c:f>
              <c:numCache>
                <c:formatCode>0.0%</c:formatCode>
                <c:ptCount val="33"/>
                <c:pt idx="0">
                  <c:v>1E-3</c:v>
                </c:pt>
                <c:pt idx="1">
                  <c:v>-0.22</c:v>
                </c:pt>
                <c:pt idx="2">
                  <c:v>-0.35399999999999998</c:v>
                </c:pt>
                <c:pt idx="3">
                  <c:v>-0.42199999999999999</c:v>
                </c:pt>
                <c:pt idx="4">
                  <c:v>-0.39700000000000002</c:v>
                </c:pt>
                <c:pt idx="5">
                  <c:v>-0.36299999999999999</c:v>
                </c:pt>
                <c:pt idx="6">
                  <c:v>-0.30499999999999999</c:v>
                </c:pt>
                <c:pt idx="7">
                  <c:v>-0.32200000000000001</c:v>
                </c:pt>
                <c:pt idx="8">
                  <c:v>-0.30099999999999999</c:v>
                </c:pt>
                <c:pt idx="9">
                  <c:v>-0.253</c:v>
                </c:pt>
                <c:pt idx="10">
                  <c:v>-0.19900000000000001</c:v>
                </c:pt>
                <c:pt idx="11">
                  <c:v>-0.19700000000000001</c:v>
                </c:pt>
                <c:pt idx="12">
                  <c:v>-0.185</c:v>
                </c:pt>
                <c:pt idx="13">
                  <c:v>-0.17100000000000001</c:v>
                </c:pt>
                <c:pt idx="14">
                  <c:v>-0.121</c:v>
                </c:pt>
                <c:pt idx="15">
                  <c:v>-0.14899999999999999</c:v>
                </c:pt>
                <c:pt idx="16">
                  <c:v>-0.14899999999999999</c:v>
                </c:pt>
                <c:pt idx="17">
                  <c:v>-0.14800000000000002</c:v>
                </c:pt>
                <c:pt idx="18">
                  <c:v>-0.13699999999999998</c:v>
                </c:pt>
                <c:pt idx="19">
                  <c:v>-0.11699999999999999</c:v>
                </c:pt>
                <c:pt idx="20">
                  <c:v>-0.11800000000000001</c:v>
                </c:pt>
                <c:pt idx="21">
                  <c:v>-0.107</c:v>
                </c:pt>
                <c:pt idx="22">
                  <c:v>-9.6000000000000002E-2</c:v>
                </c:pt>
                <c:pt idx="23">
                  <c:v>-9.6000000000000002E-2</c:v>
                </c:pt>
                <c:pt idx="24">
                  <c:v>-0.12</c:v>
                </c:pt>
                <c:pt idx="25">
                  <c:v>-2.3E-2</c:v>
                </c:pt>
                <c:pt idx="26">
                  <c:v>-5.5999999999999994E-2</c:v>
                </c:pt>
                <c:pt idx="27">
                  <c:v>-8.4000000000000005E-2</c:v>
                </c:pt>
                <c:pt idx="28">
                  <c:v>-6.3E-2</c:v>
                </c:pt>
                <c:pt idx="29">
                  <c:v>-9.0999999999999998E-2</c:v>
                </c:pt>
                <c:pt idx="30">
                  <c:v>-6.4000000000000001E-2</c:v>
                </c:pt>
                <c:pt idx="31">
                  <c:v>-8.900000000000001E-2</c:v>
                </c:pt>
                <c:pt idx="32">
                  <c:v>-5.9000000000000004E-2</c:v>
                </c:pt>
              </c:numCache>
            </c:numRef>
          </c:val>
          <c:smooth val="0"/>
          <c:extLst>
            <c:ext xmlns:c16="http://schemas.microsoft.com/office/drawing/2014/chart" uri="{C3380CC4-5D6E-409C-BE32-E72D297353CC}">
              <c16:uniqueId val="{00000000-A3F4-4D4F-ABE6-CE0076AFD58E}"/>
            </c:ext>
          </c:extLst>
        </c:ser>
        <c:dLbls>
          <c:showLegendKey val="0"/>
          <c:showVal val="0"/>
          <c:showCatName val="0"/>
          <c:showSerName val="0"/>
          <c:showPercent val="0"/>
          <c:showBubbleSize val="0"/>
        </c:dLbls>
        <c:smooth val="0"/>
        <c:axId val="451975056"/>
        <c:axId val="451974400"/>
      </c:lineChart>
      <c:catAx>
        <c:axId val="4519750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974400"/>
        <c:crosses val="autoZero"/>
        <c:auto val="1"/>
        <c:lblAlgn val="ctr"/>
        <c:lblOffset val="100"/>
        <c:noMultiLvlLbl val="0"/>
      </c:catAx>
      <c:valAx>
        <c:axId val="451974400"/>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975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en-US"/>
              <a:t>Percent Changes, Year-over-year</a:t>
            </a:r>
            <a:r>
              <a:rPr lang="en-US" baseline="0"/>
              <a:t> in Total Exports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0.10068479363386351"/>
          <c:y val="0.14852983389863086"/>
          <c:w val="0.87091594252909621"/>
          <c:h val="0.67841305948703778"/>
        </c:manualLayout>
      </c:layout>
      <c:lineChart>
        <c:grouping val="standard"/>
        <c:varyColors val="0"/>
        <c:ser>
          <c:idx val="0"/>
          <c:order val="0"/>
          <c:tx>
            <c:strRef>
              <c:f>'Export Totals AH'!$F$1</c:f>
              <c:strCache>
                <c:ptCount val="1"/>
                <c:pt idx="0">
                  <c:v>ME year-over-year</c:v>
                </c:pt>
              </c:strCache>
            </c:strRef>
          </c:tx>
          <c:spPr>
            <a:ln w="28575" cap="rnd">
              <a:solidFill>
                <a:schemeClr val="accent2"/>
              </a:solidFill>
              <a:round/>
            </a:ln>
            <a:effectLst/>
          </c:spPr>
          <c:marker>
            <c:symbol val="none"/>
          </c:marker>
          <c:cat>
            <c:numRef>
              <c:f>'Export Totals AH'!$B$14:$B$165</c:f>
              <c:numCache>
                <c:formatCode>General</c:formatCode>
                <c:ptCount val="128"/>
                <c:pt idx="0">
                  <c:v>2010</c:v>
                </c:pt>
                <c:pt idx="1">
                  <c:v>2010</c:v>
                </c:pt>
                <c:pt idx="2">
                  <c:v>2010</c:v>
                </c:pt>
                <c:pt idx="3">
                  <c:v>2010</c:v>
                </c:pt>
                <c:pt idx="4">
                  <c:v>2010</c:v>
                </c:pt>
                <c:pt idx="5">
                  <c:v>2010</c:v>
                </c:pt>
                <c:pt idx="6">
                  <c:v>2010</c:v>
                </c:pt>
                <c:pt idx="7">
                  <c:v>2010</c:v>
                </c:pt>
                <c:pt idx="8">
                  <c:v>2010</c:v>
                </c:pt>
                <c:pt idx="9">
                  <c:v>2010</c:v>
                </c:pt>
                <c:pt idx="10">
                  <c:v>2010</c:v>
                </c:pt>
                <c:pt idx="11">
                  <c:v>2010</c:v>
                </c:pt>
                <c:pt idx="12">
                  <c:v>2011</c:v>
                </c:pt>
                <c:pt idx="13">
                  <c:v>2011</c:v>
                </c:pt>
                <c:pt idx="14">
                  <c:v>2011</c:v>
                </c:pt>
                <c:pt idx="15">
                  <c:v>2011</c:v>
                </c:pt>
                <c:pt idx="16">
                  <c:v>2011</c:v>
                </c:pt>
                <c:pt idx="17">
                  <c:v>2011</c:v>
                </c:pt>
                <c:pt idx="18">
                  <c:v>2011</c:v>
                </c:pt>
                <c:pt idx="19">
                  <c:v>2011</c:v>
                </c:pt>
                <c:pt idx="20">
                  <c:v>2011</c:v>
                </c:pt>
                <c:pt idx="21">
                  <c:v>2011</c:v>
                </c:pt>
                <c:pt idx="22">
                  <c:v>2011</c:v>
                </c:pt>
                <c:pt idx="23">
                  <c:v>2011</c:v>
                </c:pt>
                <c:pt idx="24">
                  <c:v>2012</c:v>
                </c:pt>
                <c:pt idx="25">
                  <c:v>2012</c:v>
                </c:pt>
                <c:pt idx="26">
                  <c:v>2012</c:v>
                </c:pt>
                <c:pt idx="27">
                  <c:v>2012</c:v>
                </c:pt>
                <c:pt idx="28">
                  <c:v>2012</c:v>
                </c:pt>
                <c:pt idx="29">
                  <c:v>2012</c:v>
                </c:pt>
                <c:pt idx="30">
                  <c:v>2012</c:v>
                </c:pt>
                <c:pt idx="31">
                  <c:v>2012</c:v>
                </c:pt>
                <c:pt idx="32">
                  <c:v>2012</c:v>
                </c:pt>
                <c:pt idx="33">
                  <c:v>2012</c:v>
                </c:pt>
                <c:pt idx="34">
                  <c:v>2012</c:v>
                </c:pt>
                <c:pt idx="35">
                  <c:v>2012</c:v>
                </c:pt>
                <c:pt idx="36">
                  <c:v>2013</c:v>
                </c:pt>
                <c:pt idx="37">
                  <c:v>2013</c:v>
                </c:pt>
                <c:pt idx="38">
                  <c:v>2013</c:v>
                </c:pt>
                <c:pt idx="39">
                  <c:v>2013</c:v>
                </c:pt>
                <c:pt idx="40">
                  <c:v>2013</c:v>
                </c:pt>
                <c:pt idx="41">
                  <c:v>2013</c:v>
                </c:pt>
                <c:pt idx="42">
                  <c:v>2013</c:v>
                </c:pt>
                <c:pt idx="43">
                  <c:v>2013</c:v>
                </c:pt>
                <c:pt idx="44">
                  <c:v>2013</c:v>
                </c:pt>
                <c:pt idx="45">
                  <c:v>2013</c:v>
                </c:pt>
                <c:pt idx="46">
                  <c:v>2013</c:v>
                </c:pt>
                <c:pt idx="47">
                  <c:v>2013</c:v>
                </c:pt>
                <c:pt idx="48">
                  <c:v>2014</c:v>
                </c:pt>
                <c:pt idx="49">
                  <c:v>2014</c:v>
                </c:pt>
                <c:pt idx="50">
                  <c:v>2014</c:v>
                </c:pt>
                <c:pt idx="51">
                  <c:v>2014</c:v>
                </c:pt>
                <c:pt idx="52">
                  <c:v>2014</c:v>
                </c:pt>
                <c:pt idx="53">
                  <c:v>2014</c:v>
                </c:pt>
                <c:pt idx="54">
                  <c:v>2014</c:v>
                </c:pt>
                <c:pt idx="55">
                  <c:v>2014</c:v>
                </c:pt>
                <c:pt idx="56">
                  <c:v>2014</c:v>
                </c:pt>
                <c:pt idx="57">
                  <c:v>2014</c:v>
                </c:pt>
                <c:pt idx="58">
                  <c:v>2014</c:v>
                </c:pt>
                <c:pt idx="59">
                  <c:v>2014</c:v>
                </c:pt>
                <c:pt idx="60">
                  <c:v>2015</c:v>
                </c:pt>
                <c:pt idx="61">
                  <c:v>2015</c:v>
                </c:pt>
                <c:pt idx="62">
                  <c:v>2015</c:v>
                </c:pt>
                <c:pt idx="63">
                  <c:v>2015</c:v>
                </c:pt>
                <c:pt idx="64">
                  <c:v>2015</c:v>
                </c:pt>
                <c:pt idx="65">
                  <c:v>2015</c:v>
                </c:pt>
                <c:pt idx="66">
                  <c:v>2015</c:v>
                </c:pt>
                <c:pt idx="67">
                  <c:v>2015</c:v>
                </c:pt>
                <c:pt idx="68">
                  <c:v>2015</c:v>
                </c:pt>
                <c:pt idx="69">
                  <c:v>2015</c:v>
                </c:pt>
                <c:pt idx="70">
                  <c:v>2015</c:v>
                </c:pt>
                <c:pt idx="71">
                  <c:v>2015</c:v>
                </c:pt>
                <c:pt idx="72">
                  <c:v>2016</c:v>
                </c:pt>
                <c:pt idx="73">
                  <c:v>2016</c:v>
                </c:pt>
                <c:pt idx="74">
                  <c:v>2016</c:v>
                </c:pt>
                <c:pt idx="75">
                  <c:v>2016</c:v>
                </c:pt>
                <c:pt idx="76">
                  <c:v>2016</c:v>
                </c:pt>
                <c:pt idx="77">
                  <c:v>2016</c:v>
                </c:pt>
                <c:pt idx="78">
                  <c:v>2016</c:v>
                </c:pt>
                <c:pt idx="79">
                  <c:v>2016</c:v>
                </c:pt>
                <c:pt idx="80">
                  <c:v>2016</c:v>
                </c:pt>
                <c:pt idx="81">
                  <c:v>2016</c:v>
                </c:pt>
                <c:pt idx="82">
                  <c:v>2016</c:v>
                </c:pt>
                <c:pt idx="83">
                  <c:v>2016</c:v>
                </c:pt>
                <c:pt idx="84">
                  <c:v>2017</c:v>
                </c:pt>
                <c:pt idx="85">
                  <c:v>2017</c:v>
                </c:pt>
                <c:pt idx="86">
                  <c:v>2017</c:v>
                </c:pt>
                <c:pt idx="87">
                  <c:v>2017</c:v>
                </c:pt>
                <c:pt idx="88">
                  <c:v>2017</c:v>
                </c:pt>
                <c:pt idx="89">
                  <c:v>2017</c:v>
                </c:pt>
                <c:pt idx="90">
                  <c:v>2017</c:v>
                </c:pt>
                <c:pt idx="91">
                  <c:v>2017</c:v>
                </c:pt>
                <c:pt idx="92">
                  <c:v>2017</c:v>
                </c:pt>
                <c:pt idx="93">
                  <c:v>2017</c:v>
                </c:pt>
                <c:pt idx="94">
                  <c:v>2017</c:v>
                </c:pt>
                <c:pt idx="95">
                  <c:v>2017</c:v>
                </c:pt>
                <c:pt idx="96">
                  <c:v>2018</c:v>
                </c:pt>
                <c:pt idx="97">
                  <c:v>2018</c:v>
                </c:pt>
                <c:pt idx="98">
                  <c:v>2018</c:v>
                </c:pt>
                <c:pt idx="99">
                  <c:v>2018</c:v>
                </c:pt>
                <c:pt idx="100">
                  <c:v>2018</c:v>
                </c:pt>
                <c:pt idx="101">
                  <c:v>2018</c:v>
                </c:pt>
                <c:pt idx="102">
                  <c:v>2018</c:v>
                </c:pt>
                <c:pt idx="103">
                  <c:v>2018</c:v>
                </c:pt>
                <c:pt idx="104">
                  <c:v>2018</c:v>
                </c:pt>
                <c:pt idx="105">
                  <c:v>2018</c:v>
                </c:pt>
                <c:pt idx="106">
                  <c:v>2018</c:v>
                </c:pt>
                <c:pt idx="107">
                  <c:v>2018</c:v>
                </c:pt>
                <c:pt idx="108">
                  <c:v>2019</c:v>
                </c:pt>
                <c:pt idx="109">
                  <c:v>2019</c:v>
                </c:pt>
                <c:pt idx="110">
                  <c:v>2019</c:v>
                </c:pt>
                <c:pt idx="111">
                  <c:v>2019</c:v>
                </c:pt>
                <c:pt idx="112">
                  <c:v>2019</c:v>
                </c:pt>
                <c:pt idx="113">
                  <c:v>2019</c:v>
                </c:pt>
                <c:pt idx="114">
                  <c:v>2019</c:v>
                </c:pt>
                <c:pt idx="115">
                  <c:v>2019</c:v>
                </c:pt>
                <c:pt idx="116">
                  <c:v>2019</c:v>
                </c:pt>
                <c:pt idx="117">
                  <c:v>2019</c:v>
                </c:pt>
                <c:pt idx="118">
                  <c:v>2019</c:v>
                </c:pt>
                <c:pt idx="119">
                  <c:v>2019</c:v>
                </c:pt>
                <c:pt idx="120">
                  <c:v>2020</c:v>
                </c:pt>
                <c:pt idx="121">
                  <c:v>2020</c:v>
                </c:pt>
                <c:pt idx="122">
                  <c:v>2020</c:v>
                </c:pt>
                <c:pt idx="123">
                  <c:v>2020</c:v>
                </c:pt>
                <c:pt idx="124">
                  <c:v>2020</c:v>
                </c:pt>
                <c:pt idx="125">
                  <c:v>2020</c:v>
                </c:pt>
                <c:pt idx="126">
                  <c:v>2020</c:v>
                </c:pt>
                <c:pt idx="127">
                  <c:v>2020</c:v>
                </c:pt>
              </c:numCache>
            </c:numRef>
          </c:cat>
          <c:val>
            <c:numRef>
              <c:f>'Export Totals AH'!$F$14:$F$165</c:f>
              <c:numCache>
                <c:formatCode>0.0%</c:formatCode>
                <c:ptCount val="128"/>
                <c:pt idx="0">
                  <c:v>0.29961143977052052</c:v>
                </c:pt>
                <c:pt idx="1">
                  <c:v>0.15155435360164682</c:v>
                </c:pt>
                <c:pt idx="2">
                  <c:v>0.18760631616926382</c:v>
                </c:pt>
                <c:pt idx="3">
                  <c:v>0.64702791257566972</c:v>
                </c:pt>
                <c:pt idx="4">
                  <c:v>0.79984812160029306</c:v>
                </c:pt>
                <c:pt idx="5">
                  <c:v>0.7848071003035817</c:v>
                </c:pt>
                <c:pt idx="6">
                  <c:v>9.0310545424794331E-3</c:v>
                </c:pt>
                <c:pt idx="7">
                  <c:v>0.25824822929509872</c:v>
                </c:pt>
                <c:pt idx="8">
                  <c:v>0.64377568725419176</c:v>
                </c:pt>
                <c:pt idx="9">
                  <c:v>0.4529732566395912</c:v>
                </c:pt>
                <c:pt idx="10">
                  <c:v>0.41817881093147236</c:v>
                </c:pt>
                <c:pt idx="11">
                  <c:v>0.74819033215675068</c:v>
                </c:pt>
                <c:pt idx="12">
                  <c:v>0.52110630481193398</c:v>
                </c:pt>
                <c:pt idx="13">
                  <c:v>0.27148175037808753</c:v>
                </c:pt>
                <c:pt idx="14">
                  <c:v>0.48360747092166911</c:v>
                </c:pt>
                <c:pt idx="15">
                  <c:v>0.13789432914501409</c:v>
                </c:pt>
                <c:pt idx="16">
                  <c:v>0.26072671553654314</c:v>
                </c:pt>
                <c:pt idx="17">
                  <c:v>9.0462321337784424E-2</c:v>
                </c:pt>
                <c:pt idx="18">
                  <c:v>0.1017133686309688</c:v>
                </c:pt>
                <c:pt idx="19">
                  <c:v>0.11228908622599976</c:v>
                </c:pt>
                <c:pt idx="20">
                  <c:v>-0.13572451644592398</c:v>
                </c:pt>
                <c:pt idx="21">
                  <c:v>-9.856872850068632E-2</c:v>
                </c:pt>
                <c:pt idx="22">
                  <c:v>-2.9553772567309622E-2</c:v>
                </c:pt>
                <c:pt idx="23">
                  <c:v>-0.33816590025320559</c:v>
                </c:pt>
                <c:pt idx="24">
                  <c:v>-0.3611255233841637</c:v>
                </c:pt>
                <c:pt idx="25">
                  <c:v>4.395020561028673E-2</c:v>
                </c:pt>
                <c:pt idx="26">
                  <c:v>-0.19024832325496954</c:v>
                </c:pt>
                <c:pt idx="27">
                  <c:v>-0.20792855684322487</c:v>
                </c:pt>
                <c:pt idx="28">
                  <c:v>-0.17040077828112121</c:v>
                </c:pt>
                <c:pt idx="29">
                  <c:v>-3.2159016204836743E-2</c:v>
                </c:pt>
                <c:pt idx="30">
                  <c:v>-5.5598887278125675E-2</c:v>
                </c:pt>
                <c:pt idx="31">
                  <c:v>-3.8205420382941724E-2</c:v>
                </c:pt>
                <c:pt idx="32">
                  <c:v>-2.4047912545699379E-2</c:v>
                </c:pt>
                <c:pt idx="33">
                  <c:v>1.2138048359643383E-2</c:v>
                </c:pt>
                <c:pt idx="34">
                  <c:v>-0.11454661485640139</c:v>
                </c:pt>
                <c:pt idx="35">
                  <c:v>-0.13231247240147237</c:v>
                </c:pt>
                <c:pt idx="36">
                  <c:v>-1.3294058108075935E-2</c:v>
                </c:pt>
                <c:pt idx="37">
                  <c:v>-0.23067325475322331</c:v>
                </c:pt>
                <c:pt idx="38">
                  <c:v>-0.10383548942915954</c:v>
                </c:pt>
                <c:pt idx="39">
                  <c:v>-0.10525654319886601</c:v>
                </c:pt>
                <c:pt idx="40">
                  <c:v>0.12457394732638805</c:v>
                </c:pt>
                <c:pt idx="41">
                  <c:v>-0.23124252988105254</c:v>
                </c:pt>
                <c:pt idx="42">
                  <c:v>-7.937978575632898E-2</c:v>
                </c:pt>
                <c:pt idx="43">
                  <c:v>-0.18443154721500277</c:v>
                </c:pt>
                <c:pt idx="44">
                  <c:v>-0.14336475438342366</c:v>
                </c:pt>
                <c:pt idx="45">
                  <c:v>-0.1973694874846087</c:v>
                </c:pt>
                <c:pt idx="46">
                  <c:v>-0.17211925123338434</c:v>
                </c:pt>
                <c:pt idx="47">
                  <c:v>1.9741547737247345E-2</c:v>
                </c:pt>
                <c:pt idx="48">
                  <c:v>3.3577767384090906E-2</c:v>
                </c:pt>
                <c:pt idx="49">
                  <c:v>4.7316898397293805E-3</c:v>
                </c:pt>
                <c:pt idx="50">
                  <c:v>-0.1531608148732535</c:v>
                </c:pt>
                <c:pt idx="51">
                  <c:v>-8.0143459501835657E-2</c:v>
                </c:pt>
                <c:pt idx="52">
                  <c:v>-0.36833034173626467</c:v>
                </c:pt>
                <c:pt idx="53">
                  <c:v>0.42350663473847572</c:v>
                </c:pt>
                <c:pt idx="54">
                  <c:v>-0.18388555806788998</c:v>
                </c:pt>
                <c:pt idx="55">
                  <c:v>0.11724331550219924</c:v>
                </c:pt>
                <c:pt idx="56">
                  <c:v>0.1122892594212006</c:v>
                </c:pt>
                <c:pt idx="57">
                  <c:v>0.18161464381774772</c:v>
                </c:pt>
                <c:pt idx="58">
                  <c:v>0.3496958424789256</c:v>
                </c:pt>
                <c:pt idx="59">
                  <c:v>0.35929113178132299</c:v>
                </c:pt>
                <c:pt idx="60">
                  <c:v>-2.6118999352747752E-3</c:v>
                </c:pt>
                <c:pt idx="61">
                  <c:v>-8.4734847978603645E-2</c:v>
                </c:pt>
                <c:pt idx="62">
                  <c:v>7.6416091453626267E-2</c:v>
                </c:pt>
                <c:pt idx="63">
                  <c:v>-4.965726241699342E-2</c:v>
                </c:pt>
                <c:pt idx="64">
                  <c:v>0.13975756575996456</c:v>
                </c:pt>
                <c:pt idx="65">
                  <c:v>-0.35416164651360516</c:v>
                </c:pt>
                <c:pt idx="66">
                  <c:v>0.10282624199897428</c:v>
                </c:pt>
                <c:pt idx="67">
                  <c:v>-0.13722673898353177</c:v>
                </c:pt>
                <c:pt idx="68">
                  <c:v>2.4174919672416362E-2</c:v>
                </c:pt>
                <c:pt idx="69">
                  <c:v>0.19565124719052895</c:v>
                </c:pt>
                <c:pt idx="70">
                  <c:v>-2.7298219487950748E-2</c:v>
                </c:pt>
                <c:pt idx="71">
                  <c:v>2.079057467614831E-2</c:v>
                </c:pt>
                <c:pt idx="72">
                  <c:v>-5.3380145446498051E-2</c:v>
                </c:pt>
                <c:pt idx="73">
                  <c:v>0.12600044676049249</c:v>
                </c:pt>
                <c:pt idx="74">
                  <c:v>-5.2362392673102498E-2</c:v>
                </c:pt>
                <c:pt idx="75">
                  <c:v>0.12460518322789516</c:v>
                </c:pt>
                <c:pt idx="76">
                  <c:v>8.4696162036390632E-4</c:v>
                </c:pt>
                <c:pt idx="77">
                  <c:v>0.17830546302399597</c:v>
                </c:pt>
                <c:pt idx="78">
                  <c:v>0.17878910767127509</c:v>
                </c:pt>
                <c:pt idx="79">
                  <c:v>0.17749800739665034</c:v>
                </c:pt>
                <c:pt idx="80">
                  <c:v>0.10589223448161689</c:v>
                </c:pt>
                <c:pt idx="81">
                  <c:v>-0.14927941625292274</c:v>
                </c:pt>
                <c:pt idx="82">
                  <c:v>-9.8463885419808328E-4</c:v>
                </c:pt>
                <c:pt idx="83">
                  <c:v>-7.7018174107369886E-2</c:v>
                </c:pt>
                <c:pt idx="84">
                  <c:v>0.11680451454530916</c:v>
                </c:pt>
                <c:pt idx="85">
                  <c:v>6.1164257779935394E-3</c:v>
                </c:pt>
                <c:pt idx="86">
                  <c:v>1.391746643965952E-2</c:v>
                </c:pt>
                <c:pt idx="87">
                  <c:v>2.5019594079884966E-2</c:v>
                </c:pt>
                <c:pt idx="88">
                  <c:v>-0.11299887010839682</c:v>
                </c:pt>
                <c:pt idx="89">
                  <c:v>-6.1577696962220485E-2</c:v>
                </c:pt>
                <c:pt idx="90">
                  <c:v>-0.13365713102302035</c:v>
                </c:pt>
                <c:pt idx="91">
                  <c:v>-0.13678131399786864</c:v>
                </c:pt>
                <c:pt idx="92">
                  <c:v>-0.1266311424506007</c:v>
                </c:pt>
                <c:pt idx="93">
                  <c:v>-2.4663325656439472E-2</c:v>
                </c:pt>
                <c:pt idx="94">
                  <c:v>-0.10046023801071957</c:v>
                </c:pt>
                <c:pt idx="95">
                  <c:v>-4.0345208478861361E-3</c:v>
                </c:pt>
                <c:pt idx="96">
                  <c:v>5.3646759051042547E-3</c:v>
                </c:pt>
                <c:pt idx="97">
                  <c:v>0.20343541128944387</c:v>
                </c:pt>
                <c:pt idx="98">
                  <c:v>0.12934754967069573</c:v>
                </c:pt>
                <c:pt idx="99">
                  <c:v>-8.6306080359654702E-2</c:v>
                </c:pt>
                <c:pt idx="100">
                  <c:v>0.33165663476407858</c:v>
                </c:pt>
                <c:pt idx="101">
                  <c:v>4.0764196371156913E-2</c:v>
                </c:pt>
                <c:pt idx="102">
                  <c:v>0.12425067538906331</c:v>
                </c:pt>
                <c:pt idx="103">
                  <c:v>1.7073212111855751E-2</c:v>
                </c:pt>
                <c:pt idx="104">
                  <c:v>-2.7336826089397803E-2</c:v>
                </c:pt>
                <c:pt idx="105">
                  <c:v>1.1477760173173923E-2</c:v>
                </c:pt>
                <c:pt idx="106">
                  <c:v>-2.6174910928766781E-2</c:v>
                </c:pt>
                <c:pt idx="107">
                  <c:v>-7.8906386464553502E-2</c:v>
                </c:pt>
                <c:pt idx="108">
                  <c:v>-0.12841563821248791</c:v>
                </c:pt>
                <c:pt idx="109">
                  <c:v>-0.23254257017222868</c:v>
                </c:pt>
                <c:pt idx="110">
                  <c:v>-9.0705485739852265E-2</c:v>
                </c:pt>
                <c:pt idx="111">
                  <c:v>0.17924780757258985</c:v>
                </c:pt>
                <c:pt idx="112">
                  <c:v>-6.4211419520198709E-2</c:v>
                </c:pt>
                <c:pt idx="113">
                  <c:v>-1.4547347813686939E-2</c:v>
                </c:pt>
                <c:pt idx="114">
                  <c:v>-0.25936458492114844</c:v>
                </c:pt>
                <c:pt idx="115">
                  <c:v>0.14379436899879239</c:v>
                </c:pt>
                <c:pt idx="116">
                  <c:v>-6.3462678125394745E-2</c:v>
                </c:pt>
                <c:pt idx="117">
                  <c:v>6.4985094238048102E-2</c:v>
                </c:pt>
                <c:pt idx="118">
                  <c:v>1.9517945152428551E-2</c:v>
                </c:pt>
                <c:pt idx="119">
                  <c:v>-6.522997675462483E-2</c:v>
                </c:pt>
                <c:pt idx="120">
                  <c:v>0.21943136594674417</c:v>
                </c:pt>
                <c:pt idx="121">
                  <c:v>-2.8502401606612549E-2</c:v>
                </c:pt>
                <c:pt idx="122">
                  <c:v>-5.0826435084289301E-2</c:v>
                </c:pt>
                <c:pt idx="123">
                  <c:v>-0.20654012817239142</c:v>
                </c:pt>
                <c:pt idx="124">
                  <c:v>-0.41735355365881832</c:v>
                </c:pt>
                <c:pt idx="125">
                  <c:v>-0.22800624144619452</c:v>
                </c:pt>
                <c:pt idx="126">
                  <c:v>-8.8462226119362719E-2</c:v>
                </c:pt>
                <c:pt idx="127">
                  <c:v>-0.21897580684691054</c:v>
                </c:pt>
              </c:numCache>
            </c:numRef>
          </c:val>
          <c:smooth val="0"/>
          <c:extLst>
            <c:ext xmlns:c16="http://schemas.microsoft.com/office/drawing/2014/chart" uri="{C3380CC4-5D6E-409C-BE32-E72D297353CC}">
              <c16:uniqueId val="{00000000-3E0C-4701-8AAA-5943D579340D}"/>
            </c:ext>
          </c:extLst>
        </c:ser>
        <c:ser>
          <c:idx val="1"/>
          <c:order val="1"/>
          <c:tx>
            <c:strRef>
              <c:f>'Export Totals AH'!$H$1</c:f>
              <c:strCache>
                <c:ptCount val="1"/>
                <c:pt idx="0">
                  <c:v>US year-over-year</c:v>
                </c:pt>
              </c:strCache>
            </c:strRef>
          </c:tx>
          <c:spPr>
            <a:ln w="28575" cap="rnd">
              <a:solidFill>
                <a:schemeClr val="accent1"/>
              </a:solidFill>
              <a:round/>
            </a:ln>
            <a:effectLst/>
          </c:spPr>
          <c:marker>
            <c:symbol val="none"/>
          </c:marker>
          <c:cat>
            <c:numRef>
              <c:f>'Export Totals AH'!$B$14:$B$165</c:f>
              <c:numCache>
                <c:formatCode>General</c:formatCode>
                <c:ptCount val="128"/>
                <c:pt idx="0">
                  <c:v>2010</c:v>
                </c:pt>
                <c:pt idx="1">
                  <c:v>2010</c:v>
                </c:pt>
                <c:pt idx="2">
                  <c:v>2010</c:v>
                </c:pt>
                <c:pt idx="3">
                  <c:v>2010</c:v>
                </c:pt>
                <c:pt idx="4">
                  <c:v>2010</c:v>
                </c:pt>
                <c:pt idx="5">
                  <c:v>2010</c:v>
                </c:pt>
                <c:pt idx="6">
                  <c:v>2010</c:v>
                </c:pt>
                <c:pt idx="7">
                  <c:v>2010</c:v>
                </c:pt>
                <c:pt idx="8">
                  <c:v>2010</c:v>
                </c:pt>
                <c:pt idx="9">
                  <c:v>2010</c:v>
                </c:pt>
                <c:pt idx="10">
                  <c:v>2010</c:v>
                </c:pt>
                <c:pt idx="11">
                  <c:v>2010</c:v>
                </c:pt>
                <c:pt idx="12">
                  <c:v>2011</c:v>
                </c:pt>
                <c:pt idx="13">
                  <c:v>2011</c:v>
                </c:pt>
                <c:pt idx="14">
                  <c:v>2011</c:v>
                </c:pt>
                <c:pt idx="15">
                  <c:v>2011</c:v>
                </c:pt>
                <c:pt idx="16">
                  <c:v>2011</c:v>
                </c:pt>
                <c:pt idx="17">
                  <c:v>2011</c:v>
                </c:pt>
                <c:pt idx="18">
                  <c:v>2011</c:v>
                </c:pt>
                <c:pt idx="19">
                  <c:v>2011</c:v>
                </c:pt>
                <c:pt idx="20">
                  <c:v>2011</c:v>
                </c:pt>
                <c:pt idx="21">
                  <c:v>2011</c:v>
                </c:pt>
                <c:pt idx="22">
                  <c:v>2011</c:v>
                </c:pt>
                <c:pt idx="23">
                  <c:v>2011</c:v>
                </c:pt>
                <c:pt idx="24">
                  <c:v>2012</c:v>
                </c:pt>
                <c:pt idx="25">
                  <c:v>2012</c:v>
                </c:pt>
                <c:pt idx="26">
                  <c:v>2012</c:v>
                </c:pt>
                <c:pt idx="27">
                  <c:v>2012</c:v>
                </c:pt>
                <c:pt idx="28">
                  <c:v>2012</c:v>
                </c:pt>
                <c:pt idx="29">
                  <c:v>2012</c:v>
                </c:pt>
                <c:pt idx="30">
                  <c:v>2012</c:v>
                </c:pt>
                <c:pt idx="31">
                  <c:v>2012</c:v>
                </c:pt>
                <c:pt idx="32">
                  <c:v>2012</c:v>
                </c:pt>
                <c:pt idx="33">
                  <c:v>2012</c:v>
                </c:pt>
                <c:pt idx="34">
                  <c:v>2012</c:v>
                </c:pt>
                <c:pt idx="35">
                  <c:v>2012</c:v>
                </c:pt>
                <c:pt idx="36">
                  <c:v>2013</c:v>
                </c:pt>
                <c:pt idx="37">
                  <c:v>2013</c:v>
                </c:pt>
                <c:pt idx="38">
                  <c:v>2013</c:v>
                </c:pt>
                <c:pt idx="39">
                  <c:v>2013</c:v>
                </c:pt>
                <c:pt idx="40">
                  <c:v>2013</c:v>
                </c:pt>
                <c:pt idx="41">
                  <c:v>2013</c:v>
                </c:pt>
                <c:pt idx="42">
                  <c:v>2013</c:v>
                </c:pt>
                <c:pt idx="43">
                  <c:v>2013</c:v>
                </c:pt>
                <c:pt idx="44">
                  <c:v>2013</c:v>
                </c:pt>
                <c:pt idx="45">
                  <c:v>2013</c:v>
                </c:pt>
                <c:pt idx="46">
                  <c:v>2013</c:v>
                </c:pt>
                <c:pt idx="47">
                  <c:v>2013</c:v>
                </c:pt>
                <c:pt idx="48">
                  <c:v>2014</c:v>
                </c:pt>
                <c:pt idx="49">
                  <c:v>2014</c:v>
                </c:pt>
                <c:pt idx="50">
                  <c:v>2014</c:v>
                </c:pt>
                <c:pt idx="51">
                  <c:v>2014</c:v>
                </c:pt>
                <c:pt idx="52">
                  <c:v>2014</c:v>
                </c:pt>
                <c:pt idx="53">
                  <c:v>2014</c:v>
                </c:pt>
                <c:pt idx="54">
                  <c:v>2014</c:v>
                </c:pt>
                <c:pt idx="55">
                  <c:v>2014</c:v>
                </c:pt>
                <c:pt idx="56">
                  <c:v>2014</c:v>
                </c:pt>
                <c:pt idx="57">
                  <c:v>2014</c:v>
                </c:pt>
                <c:pt idx="58">
                  <c:v>2014</c:v>
                </c:pt>
                <c:pt idx="59">
                  <c:v>2014</c:v>
                </c:pt>
                <c:pt idx="60">
                  <c:v>2015</c:v>
                </c:pt>
                <c:pt idx="61">
                  <c:v>2015</c:v>
                </c:pt>
                <c:pt idx="62">
                  <c:v>2015</c:v>
                </c:pt>
                <c:pt idx="63">
                  <c:v>2015</c:v>
                </c:pt>
                <c:pt idx="64">
                  <c:v>2015</c:v>
                </c:pt>
                <c:pt idx="65">
                  <c:v>2015</c:v>
                </c:pt>
                <c:pt idx="66">
                  <c:v>2015</c:v>
                </c:pt>
                <c:pt idx="67">
                  <c:v>2015</c:v>
                </c:pt>
                <c:pt idx="68">
                  <c:v>2015</c:v>
                </c:pt>
                <c:pt idx="69">
                  <c:v>2015</c:v>
                </c:pt>
                <c:pt idx="70">
                  <c:v>2015</c:v>
                </c:pt>
                <c:pt idx="71">
                  <c:v>2015</c:v>
                </c:pt>
                <c:pt idx="72">
                  <c:v>2016</c:v>
                </c:pt>
                <c:pt idx="73">
                  <c:v>2016</c:v>
                </c:pt>
                <c:pt idx="74">
                  <c:v>2016</c:v>
                </c:pt>
                <c:pt idx="75">
                  <c:v>2016</c:v>
                </c:pt>
                <c:pt idx="76">
                  <c:v>2016</c:v>
                </c:pt>
                <c:pt idx="77">
                  <c:v>2016</c:v>
                </c:pt>
                <c:pt idx="78">
                  <c:v>2016</c:v>
                </c:pt>
                <c:pt idx="79">
                  <c:v>2016</c:v>
                </c:pt>
                <c:pt idx="80">
                  <c:v>2016</c:v>
                </c:pt>
                <c:pt idx="81">
                  <c:v>2016</c:v>
                </c:pt>
                <c:pt idx="82">
                  <c:v>2016</c:v>
                </c:pt>
                <c:pt idx="83">
                  <c:v>2016</c:v>
                </c:pt>
                <c:pt idx="84">
                  <c:v>2017</c:v>
                </c:pt>
                <c:pt idx="85">
                  <c:v>2017</c:v>
                </c:pt>
                <c:pt idx="86">
                  <c:v>2017</c:v>
                </c:pt>
                <c:pt idx="87">
                  <c:v>2017</c:v>
                </c:pt>
                <c:pt idx="88">
                  <c:v>2017</c:v>
                </c:pt>
                <c:pt idx="89">
                  <c:v>2017</c:v>
                </c:pt>
                <c:pt idx="90">
                  <c:v>2017</c:v>
                </c:pt>
                <c:pt idx="91">
                  <c:v>2017</c:v>
                </c:pt>
                <c:pt idx="92">
                  <c:v>2017</c:v>
                </c:pt>
                <c:pt idx="93">
                  <c:v>2017</c:v>
                </c:pt>
                <c:pt idx="94">
                  <c:v>2017</c:v>
                </c:pt>
                <c:pt idx="95">
                  <c:v>2017</c:v>
                </c:pt>
                <c:pt idx="96">
                  <c:v>2018</c:v>
                </c:pt>
                <c:pt idx="97">
                  <c:v>2018</c:v>
                </c:pt>
                <c:pt idx="98">
                  <c:v>2018</c:v>
                </c:pt>
                <c:pt idx="99">
                  <c:v>2018</c:v>
                </c:pt>
                <c:pt idx="100">
                  <c:v>2018</c:v>
                </c:pt>
                <c:pt idx="101">
                  <c:v>2018</c:v>
                </c:pt>
                <c:pt idx="102">
                  <c:v>2018</c:v>
                </c:pt>
                <c:pt idx="103">
                  <c:v>2018</c:v>
                </c:pt>
                <c:pt idx="104">
                  <c:v>2018</c:v>
                </c:pt>
                <c:pt idx="105">
                  <c:v>2018</c:v>
                </c:pt>
                <c:pt idx="106">
                  <c:v>2018</c:v>
                </c:pt>
                <c:pt idx="107">
                  <c:v>2018</c:v>
                </c:pt>
                <c:pt idx="108">
                  <c:v>2019</c:v>
                </c:pt>
                <c:pt idx="109">
                  <c:v>2019</c:v>
                </c:pt>
                <c:pt idx="110">
                  <c:v>2019</c:v>
                </c:pt>
                <c:pt idx="111">
                  <c:v>2019</c:v>
                </c:pt>
                <c:pt idx="112">
                  <c:v>2019</c:v>
                </c:pt>
                <c:pt idx="113">
                  <c:v>2019</c:v>
                </c:pt>
                <c:pt idx="114">
                  <c:v>2019</c:v>
                </c:pt>
                <c:pt idx="115">
                  <c:v>2019</c:v>
                </c:pt>
                <c:pt idx="116">
                  <c:v>2019</c:v>
                </c:pt>
                <c:pt idx="117">
                  <c:v>2019</c:v>
                </c:pt>
                <c:pt idx="118">
                  <c:v>2019</c:v>
                </c:pt>
                <c:pt idx="119">
                  <c:v>2019</c:v>
                </c:pt>
                <c:pt idx="120">
                  <c:v>2020</c:v>
                </c:pt>
                <c:pt idx="121">
                  <c:v>2020</c:v>
                </c:pt>
                <c:pt idx="122">
                  <c:v>2020</c:v>
                </c:pt>
                <c:pt idx="123">
                  <c:v>2020</c:v>
                </c:pt>
                <c:pt idx="124">
                  <c:v>2020</c:v>
                </c:pt>
                <c:pt idx="125">
                  <c:v>2020</c:v>
                </c:pt>
                <c:pt idx="126">
                  <c:v>2020</c:v>
                </c:pt>
                <c:pt idx="127">
                  <c:v>2020</c:v>
                </c:pt>
              </c:numCache>
            </c:numRef>
          </c:cat>
          <c:val>
            <c:numRef>
              <c:f>'Export Totals AH'!$H$14:$H$165</c:f>
              <c:numCache>
                <c:formatCode>0.0%</c:formatCode>
                <c:ptCount val="128"/>
                <c:pt idx="0">
                  <c:v>0.18490014714511993</c:v>
                </c:pt>
                <c:pt idx="1">
                  <c:v>0.16812719430415268</c:v>
                </c:pt>
                <c:pt idx="2">
                  <c:v>0.25797117916328793</c:v>
                </c:pt>
                <c:pt idx="3">
                  <c:v>0.26793283008853108</c:v>
                </c:pt>
                <c:pt idx="4">
                  <c:v>0.26075257203739866</c:v>
                </c:pt>
                <c:pt idx="5">
                  <c:v>0.23406423870359938</c:v>
                </c:pt>
                <c:pt idx="6">
                  <c:v>0.21505798252972741</c:v>
                </c:pt>
                <c:pt idx="7">
                  <c:v>0.22397259403114744</c:v>
                </c:pt>
                <c:pt idx="8">
                  <c:v>0.17740020576783455</c:v>
                </c:pt>
                <c:pt idx="9">
                  <c:v>0.17255689659732187</c:v>
                </c:pt>
                <c:pt idx="10">
                  <c:v>0.19565720728417269</c:v>
                </c:pt>
                <c:pt idx="11">
                  <c:v>0.1818927268279964</c:v>
                </c:pt>
                <c:pt idx="12">
                  <c:v>0.18987707843496326</c:v>
                </c:pt>
                <c:pt idx="13">
                  <c:v>0.16709539818756958</c:v>
                </c:pt>
                <c:pt idx="14">
                  <c:v>0.19197822471001524</c:v>
                </c:pt>
                <c:pt idx="15">
                  <c:v>0.21053053453770554</c:v>
                </c:pt>
                <c:pt idx="16">
                  <c:v>0.17799924984477355</c:v>
                </c:pt>
                <c:pt idx="17">
                  <c:v>0.16656010216352835</c:v>
                </c:pt>
                <c:pt idx="18">
                  <c:v>0.15579763333173591</c:v>
                </c:pt>
                <c:pt idx="19">
                  <c:v>0.18583716835514386</c:v>
                </c:pt>
                <c:pt idx="20">
                  <c:v>0.17968390930988609</c:v>
                </c:pt>
                <c:pt idx="21">
                  <c:v>0.11800280627623883</c:v>
                </c:pt>
                <c:pt idx="22">
                  <c:v>0.11169931063976102</c:v>
                </c:pt>
                <c:pt idx="23">
                  <c:v>8.0413760700396963E-2</c:v>
                </c:pt>
                <c:pt idx="24">
                  <c:v>6.9477442970286019E-2</c:v>
                </c:pt>
                <c:pt idx="25">
                  <c:v>0.1284523484048774</c:v>
                </c:pt>
                <c:pt idx="26">
                  <c:v>6.447718746926534E-2</c:v>
                </c:pt>
                <c:pt idx="27">
                  <c:v>2.7080320406238867E-2</c:v>
                </c:pt>
                <c:pt idx="28">
                  <c:v>5.6323749066386819E-2</c:v>
                </c:pt>
                <c:pt idx="29">
                  <c:v>6.0625723638361828E-2</c:v>
                </c:pt>
                <c:pt idx="30">
                  <c:v>9.5293813179373466E-3</c:v>
                </c:pt>
                <c:pt idx="31">
                  <c:v>1.4606193435138026E-2</c:v>
                </c:pt>
                <c:pt idx="32">
                  <c:v>9.6660539263002665E-3</c:v>
                </c:pt>
                <c:pt idx="33">
                  <c:v>1.9975870153915887E-2</c:v>
                </c:pt>
                <c:pt idx="34">
                  <c:v>3.5405612107654028E-2</c:v>
                </c:pt>
                <c:pt idx="35">
                  <c:v>3.0439255347650018E-2</c:v>
                </c:pt>
                <c:pt idx="36">
                  <c:v>4.4070865895631695E-2</c:v>
                </c:pt>
                <c:pt idx="37">
                  <c:v>-1.3644937370644872E-3</c:v>
                </c:pt>
                <c:pt idx="38">
                  <c:v>-2.5509428099387388E-2</c:v>
                </c:pt>
                <c:pt idx="39">
                  <c:v>1.6083159871087549E-2</c:v>
                </c:pt>
                <c:pt idx="40">
                  <c:v>1.3225517532658548E-2</c:v>
                </c:pt>
                <c:pt idx="41">
                  <c:v>1.4870492790278744E-2</c:v>
                </c:pt>
                <c:pt idx="42">
                  <c:v>4.8371848431733033E-2</c:v>
                </c:pt>
                <c:pt idx="43">
                  <c:v>3.1115996635879162E-2</c:v>
                </c:pt>
                <c:pt idx="44">
                  <c:v>9.167547888229155E-4</c:v>
                </c:pt>
                <c:pt idx="45">
                  <c:v>6.239265556943896E-2</c:v>
                </c:pt>
                <c:pt idx="46">
                  <c:v>4.6050329689885316E-2</c:v>
                </c:pt>
                <c:pt idx="47">
                  <c:v>8.8850394366959407E-3</c:v>
                </c:pt>
                <c:pt idx="48">
                  <c:v>2.9157702201893398E-2</c:v>
                </c:pt>
                <c:pt idx="49">
                  <c:v>1.5131138006949651E-3</c:v>
                </c:pt>
                <c:pt idx="50">
                  <c:v>4.1332596309068936E-2</c:v>
                </c:pt>
                <c:pt idx="51">
                  <c:v>3.4986929358757468E-2</c:v>
                </c:pt>
                <c:pt idx="52">
                  <c:v>3.9206823903263244E-2</c:v>
                </c:pt>
                <c:pt idx="53">
                  <c:v>2.9223525133732942E-2</c:v>
                </c:pt>
                <c:pt idx="54">
                  <c:v>4.7499467570273346E-2</c:v>
                </c:pt>
                <c:pt idx="55">
                  <c:v>3.8027433581082404E-2</c:v>
                </c:pt>
                <c:pt idx="56">
                  <c:v>4.1214822628967251E-2</c:v>
                </c:pt>
                <c:pt idx="57">
                  <c:v>2.5008036383393772E-2</c:v>
                </c:pt>
                <c:pt idx="58">
                  <c:v>-1.0849085683085069E-2</c:v>
                </c:pt>
                <c:pt idx="59">
                  <c:v>1.3695088989618576E-2</c:v>
                </c:pt>
                <c:pt idx="60">
                  <c:v>-4.5386869059805712E-2</c:v>
                </c:pt>
                <c:pt idx="61">
                  <c:v>-4.3651787455280866E-2</c:v>
                </c:pt>
                <c:pt idx="62">
                  <c:v>-6.0588748693617189E-2</c:v>
                </c:pt>
                <c:pt idx="63">
                  <c:v>-4.0976201085202391E-2</c:v>
                </c:pt>
                <c:pt idx="64">
                  <c:v>-7.2192540211134304E-2</c:v>
                </c:pt>
                <c:pt idx="65">
                  <c:v>-5.4202592518151738E-2</c:v>
                </c:pt>
                <c:pt idx="66">
                  <c:v>-6.8131620981565444E-2</c:v>
                </c:pt>
                <c:pt idx="67">
                  <c:v>-0.10802446644408614</c:v>
                </c:pt>
                <c:pt idx="68">
                  <c:v>-6.5486829429393656E-2</c:v>
                </c:pt>
                <c:pt idx="69">
                  <c:v>-0.10515711014696083</c:v>
                </c:pt>
                <c:pt idx="70">
                  <c:v>-0.10526463073665349</c:v>
                </c:pt>
                <c:pt idx="71">
                  <c:v>-0.10178120940291457</c:v>
                </c:pt>
                <c:pt idx="72">
                  <c:v>-0.10682392134057606</c:v>
                </c:pt>
                <c:pt idx="73">
                  <c:v>-4.0372175069051996E-2</c:v>
                </c:pt>
                <c:pt idx="74">
                  <c:v>-6.090914920200563E-2</c:v>
                </c:pt>
                <c:pt idx="75">
                  <c:v>-7.6163610830665474E-2</c:v>
                </c:pt>
                <c:pt idx="76">
                  <c:v>-6.7001432651782045E-2</c:v>
                </c:pt>
                <c:pt idx="77">
                  <c:v>-4.4877323204688624E-2</c:v>
                </c:pt>
                <c:pt idx="78">
                  <c:v>-6.79145858546506E-2</c:v>
                </c:pt>
                <c:pt idx="79">
                  <c:v>-8.2258305220583861E-4</c:v>
                </c:pt>
                <c:pt idx="80">
                  <c:v>-3.4610177112904816E-3</c:v>
                </c:pt>
                <c:pt idx="81">
                  <c:v>-1.3632189287754559E-2</c:v>
                </c:pt>
                <c:pt idx="82">
                  <c:v>2.0392070017997588E-2</c:v>
                </c:pt>
                <c:pt idx="83">
                  <c:v>5.4138745193868187E-2</c:v>
                </c:pt>
                <c:pt idx="84">
                  <c:v>8.8077830646649646E-2</c:v>
                </c:pt>
                <c:pt idx="85">
                  <c:v>5.0816904054116652E-2</c:v>
                </c:pt>
                <c:pt idx="86">
                  <c:v>8.2717726546971404E-2</c:v>
                </c:pt>
                <c:pt idx="87">
                  <c:v>4.3540810488295723E-2</c:v>
                </c:pt>
                <c:pt idx="88">
                  <c:v>6.8967480953278093E-2</c:v>
                </c:pt>
                <c:pt idx="89">
                  <c:v>6.0801969859195726E-2</c:v>
                </c:pt>
                <c:pt idx="90">
                  <c:v>5.4988969027314427E-2</c:v>
                </c:pt>
                <c:pt idx="91">
                  <c:v>5.3325830633897731E-2</c:v>
                </c:pt>
                <c:pt idx="92">
                  <c:v>4.6682818656518243E-2</c:v>
                </c:pt>
                <c:pt idx="93">
                  <c:v>6.0229978813536311E-2</c:v>
                </c:pt>
                <c:pt idx="94">
                  <c:v>0.10112240082161184</c:v>
                </c:pt>
                <c:pt idx="95">
                  <c:v>7.4494193869094616E-2</c:v>
                </c:pt>
                <c:pt idx="96">
                  <c:v>6.4207768977127211E-2</c:v>
                </c:pt>
                <c:pt idx="97">
                  <c:v>7.5187554374368304E-2</c:v>
                </c:pt>
                <c:pt idx="98">
                  <c:v>0.10257871164590293</c:v>
                </c:pt>
                <c:pt idx="99">
                  <c:v>0.11427627644306848</c:v>
                </c:pt>
                <c:pt idx="100">
                  <c:v>0.13731512246628541</c:v>
                </c:pt>
                <c:pt idx="101">
                  <c:v>9.5439619858572966E-2</c:v>
                </c:pt>
                <c:pt idx="102">
                  <c:v>9.4446503746064892E-2</c:v>
                </c:pt>
                <c:pt idx="103">
                  <c:v>8.47331119310053E-2</c:v>
                </c:pt>
                <c:pt idx="104">
                  <c:v>6.8216489175541906E-2</c:v>
                </c:pt>
                <c:pt idx="105">
                  <c:v>7.9684263786800047E-2</c:v>
                </c:pt>
                <c:pt idx="106">
                  <c:v>3.2095559725998424E-2</c:v>
                </c:pt>
                <c:pt idx="107">
                  <c:v>-1.3886797954647201E-2</c:v>
                </c:pt>
                <c:pt idx="108">
                  <c:v>3.6268033579387904E-2</c:v>
                </c:pt>
                <c:pt idx="109">
                  <c:v>1.8045367029257076E-2</c:v>
                </c:pt>
                <c:pt idx="110">
                  <c:v>-1.1212216921420604E-2</c:v>
                </c:pt>
                <c:pt idx="111">
                  <c:v>-2.1155172310766579E-2</c:v>
                </c:pt>
                <c:pt idx="112">
                  <c:v>-2.2111692190369014E-2</c:v>
                </c:pt>
                <c:pt idx="113">
                  <c:v>-5.0268236665834132E-2</c:v>
                </c:pt>
                <c:pt idx="114">
                  <c:v>-6.6050198020679574E-3</c:v>
                </c:pt>
                <c:pt idx="115">
                  <c:v>-1.041748006012666E-2</c:v>
                </c:pt>
                <c:pt idx="116">
                  <c:v>-3.2762615839504683E-2</c:v>
                </c:pt>
                <c:pt idx="117">
                  <c:v>-3.2941687497495598E-2</c:v>
                </c:pt>
                <c:pt idx="118">
                  <c:v>-1.7682086036746925E-2</c:v>
                </c:pt>
                <c:pt idx="119">
                  <c:v>1.2521941006417014E-2</c:v>
                </c:pt>
                <c:pt idx="120">
                  <c:v>-3.2762714944682969E-3</c:v>
                </c:pt>
                <c:pt idx="121">
                  <c:v>1.189986529848408E-2</c:v>
                </c:pt>
                <c:pt idx="122">
                  <c:v>-9.2217689047407236E-2</c:v>
                </c:pt>
                <c:pt idx="123">
                  <c:v>-0.29117952055524698</c:v>
                </c:pt>
                <c:pt idx="124">
                  <c:v>-0.3625385274085613</c:v>
                </c:pt>
                <c:pt idx="125">
                  <c:v>-0.23916168538004456</c:v>
                </c:pt>
                <c:pt idx="126">
                  <c:v>-0.1518117245748456</c:v>
                </c:pt>
                <c:pt idx="127">
                  <c:v>-0.1486621387230882</c:v>
                </c:pt>
              </c:numCache>
            </c:numRef>
          </c:val>
          <c:smooth val="0"/>
          <c:extLst>
            <c:ext xmlns:c16="http://schemas.microsoft.com/office/drawing/2014/chart" uri="{C3380CC4-5D6E-409C-BE32-E72D297353CC}">
              <c16:uniqueId val="{00000001-3E0C-4701-8AAA-5943D579340D}"/>
            </c:ext>
          </c:extLst>
        </c:ser>
        <c:dLbls>
          <c:showLegendKey val="0"/>
          <c:showVal val="0"/>
          <c:showCatName val="0"/>
          <c:showSerName val="0"/>
          <c:showPercent val="0"/>
          <c:showBubbleSize val="0"/>
        </c:dLbls>
        <c:smooth val="0"/>
        <c:axId val="517471096"/>
        <c:axId val="516193384"/>
      </c:lineChart>
      <c:catAx>
        <c:axId val="5174710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16193384"/>
        <c:crosses val="autoZero"/>
        <c:auto val="1"/>
        <c:lblAlgn val="ctr"/>
        <c:lblOffset val="100"/>
        <c:tickLblSkip val="12"/>
        <c:noMultiLvlLbl val="0"/>
      </c:catAx>
      <c:valAx>
        <c:axId val="516193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US"/>
                  <a:t>Year-over-year percent change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1747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aramond" panose="020204040303010108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Personal</a:t>
            </a:r>
            <a:r>
              <a:rPr lang="en-US" baseline="0"/>
              <a:t> Income Forecast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Sheet1!$A$4</c:f>
              <c:strCache>
                <c:ptCount val="1"/>
                <c:pt idx="0">
                  <c:v>Total Personal Income</c:v>
                </c:pt>
              </c:strCache>
            </c:strRef>
          </c:tx>
          <c:spPr>
            <a:ln w="28575" cap="rnd">
              <a:solidFill>
                <a:schemeClr val="accent1"/>
              </a:solidFill>
              <a:round/>
            </a:ln>
            <a:effectLst/>
          </c:spPr>
          <c:marker>
            <c:symbol val="none"/>
          </c:marker>
          <c:cat>
            <c:numRef>
              <c:f>Sheet1!$B$1:$Q$1</c:f>
              <c:numCache>
                <c:formatCode>General</c:formatCode>
                <c:ptCount val="16"/>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numCache>
            </c:numRef>
          </c:cat>
          <c:val>
            <c:numRef>
              <c:f>Sheet1!$B$4:$Q$4</c:f>
              <c:numCache>
                <c:formatCode>General</c:formatCode>
                <c:ptCount val="16"/>
                <c:pt idx="0">
                  <c:v>50330.476999999999</c:v>
                </c:pt>
                <c:pt idx="1">
                  <c:v>52424.424999999996</c:v>
                </c:pt>
                <c:pt idx="2">
                  <c:v>53490.021999999997</c:v>
                </c:pt>
                <c:pt idx="3">
                  <c:v>53346.347999999991</c:v>
                </c:pt>
                <c:pt idx="4">
                  <c:v>55649.96</c:v>
                </c:pt>
                <c:pt idx="5">
                  <c:v>57941.775999999998</c:v>
                </c:pt>
                <c:pt idx="6">
                  <c:v>59685.392999999996</c:v>
                </c:pt>
                <c:pt idx="7">
                  <c:v>62145.822</c:v>
                </c:pt>
                <c:pt idx="8">
                  <c:v>65335.205000000002</c:v>
                </c:pt>
                <c:pt idx="9">
                  <c:v>68062.38</c:v>
                </c:pt>
              </c:numCache>
            </c:numRef>
          </c:val>
          <c:smooth val="0"/>
          <c:extLst>
            <c:ext xmlns:c16="http://schemas.microsoft.com/office/drawing/2014/chart" uri="{C3380CC4-5D6E-409C-BE32-E72D297353CC}">
              <c16:uniqueId val="{00000000-BB35-47BA-AC84-C2CFFA1E0473}"/>
            </c:ext>
          </c:extLst>
        </c:ser>
        <c:ser>
          <c:idx val="1"/>
          <c:order val="1"/>
          <c:tx>
            <c:strRef>
              <c:f>Sheet1!$A$5</c:f>
              <c:strCache>
                <c:ptCount val="1"/>
              </c:strCache>
            </c:strRef>
          </c:tx>
          <c:spPr>
            <a:ln w="28575" cap="rnd">
              <a:solidFill>
                <a:schemeClr val="accent1"/>
              </a:solidFill>
              <a:prstDash val="sysDash"/>
              <a:round/>
            </a:ln>
            <a:effectLst/>
          </c:spPr>
          <c:marker>
            <c:symbol val="none"/>
          </c:marker>
          <c:val>
            <c:numRef>
              <c:f>Sheet1!$B$5:$Q$5</c:f>
              <c:numCache>
                <c:formatCode>General</c:formatCode>
                <c:ptCount val="16"/>
                <c:pt idx="9">
                  <c:v>68062.38</c:v>
                </c:pt>
                <c:pt idx="10">
                  <c:v>71697.362453220834</c:v>
                </c:pt>
                <c:pt idx="11">
                  <c:v>71328.294270562154</c:v>
                </c:pt>
                <c:pt idx="12">
                  <c:v>74111.764565678168</c:v>
                </c:pt>
                <c:pt idx="13">
                  <c:v>76997.802122546374</c:v>
                </c:pt>
                <c:pt idx="14">
                  <c:v>80013.178901689374</c:v>
                </c:pt>
                <c:pt idx="15">
                  <c:v>83174.579325273677</c:v>
                </c:pt>
              </c:numCache>
            </c:numRef>
          </c:val>
          <c:smooth val="0"/>
          <c:extLst>
            <c:ext xmlns:c16="http://schemas.microsoft.com/office/drawing/2014/chart" uri="{C3380CC4-5D6E-409C-BE32-E72D297353CC}">
              <c16:uniqueId val="{00000001-BB35-47BA-AC84-C2CFFA1E0473}"/>
            </c:ext>
          </c:extLst>
        </c:ser>
        <c:dLbls>
          <c:showLegendKey val="0"/>
          <c:showVal val="0"/>
          <c:showCatName val="0"/>
          <c:showSerName val="0"/>
          <c:showPercent val="0"/>
          <c:showBubbleSize val="0"/>
        </c:dLbls>
        <c:smooth val="0"/>
        <c:axId val="679056344"/>
        <c:axId val="679061592"/>
      </c:lineChart>
      <c:catAx>
        <c:axId val="679056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061592"/>
        <c:crosses val="autoZero"/>
        <c:auto val="1"/>
        <c:lblAlgn val="ctr"/>
        <c:lblOffset val="100"/>
        <c:noMultiLvlLbl val="0"/>
      </c:catAx>
      <c:valAx>
        <c:axId val="679061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Millions</a:t>
                </a:r>
                <a:r>
                  <a:rPr lang="en-US" baseline="0"/>
                  <a:t> of Dollars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056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Wage and Salary Income Forecast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Sheet1!$A$6</c:f>
              <c:strCache>
                <c:ptCount val="1"/>
                <c:pt idx="0">
                  <c:v>Wage and Salary Income</c:v>
                </c:pt>
              </c:strCache>
            </c:strRef>
          </c:tx>
          <c:spPr>
            <a:ln w="28575" cap="rnd">
              <a:solidFill>
                <a:schemeClr val="accent1"/>
              </a:solidFill>
              <a:round/>
            </a:ln>
            <a:effectLst/>
          </c:spPr>
          <c:marker>
            <c:symbol val="none"/>
          </c:marker>
          <c:cat>
            <c:numRef>
              <c:f>Sheet1!$B$1:$Q$1</c:f>
              <c:numCache>
                <c:formatCode>General</c:formatCode>
                <c:ptCount val="16"/>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numCache>
            </c:numRef>
          </c:cat>
          <c:val>
            <c:numRef>
              <c:f>Sheet1!$B$6:$Q$6</c:f>
              <c:numCache>
                <c:formatCode>General</c:formatCode>
                <c:ptCount val="16"/>
                <c:pt idx="0">
                  <c:v>23332.59</c:v>
                </c:pt>
                <c:pt idx="1">
                  <c:v>23792.438999999998</c:v>
                </c:pt>
                <c:pt idx="2">
                  <c:v>24325.064000000002</c:v>
                </c:pt>
                <c:pt idx="3">
                  <c:v>24896.002</c:v>
                </c:pt>
                <c:pt idx="4">
                  <c:v>25782.072</c:v>
                </c:pt>
                <c:pt idx="5">
                  <c:v>26814.957000000002</c:v>
                </c:pt>
                <c:pt idx="6">
                  <c:v>27668.213</c:v>
                </c:pt>
                <c:pt idx="7">
                  <c:v>28750.803000000004</c:v>
                </c:pt>
                <c:pt idx="8">
                  <c:v>30023.894</c:v>
                </c:pt>
                <c:pt idx="9">
                  <c:v>31482.798999999999</c:v>
                </c:pt>
              </c:numCache>
            </c:numRef>
          </c:val>
          <c:smooth val="0"/>
          <c:extLst>
            <c:ext xmlns:c16="http://schemas.microsoft.com/office/drawing/2014/chart" uri="{C3380CC4-5D6E-409C-BE32-E72D297353CC}">
              <c16:uniqueId val="{00000000-3DF3-49DD-A796-28234435D711}"/>
            </c:ext>
          </c:extLst>
        </c:ser>
        <c:ser>
          <c:idx val="1"/>
          <c:order val="1"/>
          <c:tx>
            <c:strRef>
              <c:f>Sheet1!$A$7</c:f>
              <c:strCache>
                <c:ptCount val="1"/>
              </c:strCache>
            </c:strRef>
          </c:tx>
          <c:spPr>
            <a:ln w="28575" cap="rnd">
              <a:solidFill>
                <a:schemeClr val="accent1"/>
              </a:solidFill>
              <a:prstDash val="sysDash"/>
              <a:round/>
            </a:ln>
            <a:effectLst/>
          </c:spPr>
          <c:marker>
            <c:symbol val="none"/>
          </c:marker>
          <c:val>
            <c:numRef>
              <c:f>Sheet1!$B$7:$Q$7</c:f>
              <c:numCache>
                <c:formatCode>General</c:formatCode>
                <c:ptCount val="16"/>
                <c:pt idx="9">
                  <c:v>31482.798999999999</c:v>
                </c:pt>
                <c:pt idx="10">
                  <c:v>31010.557999999997</c:v>
                </c:pt>
                <c:pt idx="11">
                  <c:v>31940.874739999999</c:v>
                </c:pt>
                <c:pt idx="12">
                  <c:v>33218.509729600002</c:v>
                </c:pt>
                <c:pt idx="13">
                  <c:v>34547.250118784003</c:v>
                </c:pt>
                <c:pt idx="14">
                  <c:v>35929.140123535362</c:v>
                </c:pt>
                <c:pt idx="15">
                  <c:v>37366.305728476778</c:v>
                </c:pt>
              </c:numCache>
            </c:numRef>
          </c:val>
          <c:smooth val="0"/>
          <c:extLst>
            <c:ext xmlns:c16="http://schemas.microsoft.com/office/drawing/2014/chart" uri="{C3380CC4-5D6E-409C-BE32-E72D297353CC}">
              <c16:uniqueId val="{00000001-3DF3-49DD-A796-28234435D711}"/>
            </c:ext>
          </c:extLst>
        </c:ser>
        <c:dLbls>
          <c:showLegendKey val="0"/>
          <c:showVal val="0"/>
          <c:showCatName val="0"/>
          <c:showSerName val="0"/>
          <c:showPercent val="0"/>
          <c:showBubbleSize val="0"/>
        </c:dLbls>
        <c:smooth val="0"/>
        <c:axId val="679101608"/>
        <c:axId val="679101936"/>
      </c:lineChart>
      <c:catAx>
        <c:axId val="679101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101936"/>
        <c:crosses val="autoZero"/>
        <c:auto val="1"/>
        <c:lblAlgn val="ctr"/>
        <c:lblOffset val="100"/>
        <c:noMultiLvlLbl val="0"/>
      </c:catAx>
      <c:valAx>
        <c:axId val="679101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Millions of Dollars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101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en-US"/>
              <a:t>Real GDP (billions of chained 2012 dollars) - Maine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lineChart>
        <c:grouping val="standard"/>
        <c:varyColors val="0"/>
        <c:ser>
          <c:idx val="0"/>
          <c:order val="0"/>
          <c:spPr>
            <a:ln w="28575" cap="rnd">
              <a:solidFill>
                <a:schemeClr val="accent5"/>
              </a:solidFill>
              <a:round/>
            </a:ln>
            <a:effectLst/>
          </c:spPr>
          <c:marker>
            <c:symbol val="none"/>
          </c:marker>
          <c:dLbls>
            <c:dLbl>
              <c:idx val="49"/>
              <c:layout>
                <c:manualLayout>
                  <c:x val="-9.4832566010933077E-3"/>
                  <c:y val="6.14079160386311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D9-4677-80DC-9BBCD17CD8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aramond" panose="02020404030301010803" pitchFamily="18"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RealGDP!$B$17:$B$67</c:f>
              <c:strCache>
                <c:ptCount val="50"/>
                <c:pt idx="0">
                  <c:v>2008:Q1</c:v>
                </c:pt>
                <c:pt idx="1">
                  <c:v>2008:Q2</c:v>
                </c:pt>
                <c:pt idx="2">
                  <c:v>2008:Q3</c:v>
                </c:pt>
                <c:pt idx="3">
                  <c:v>2008:Q4</c:v>
                </c:pt>
                <c:pt idx="4">
                  <c:v>2009:Q1</c:v>
                </c:pt>
                <c:pt idx="5">
                  <c:v>2009:Q2</c:v>
                </c:pt>
                <c:pt idx="6">
                  <c:v>2009:Q3</c:v>
                </c:pt>
                <c:pt idx="7">
                  <c:v>2009:Q4</c:v>
                </c:pt>
                <c:pt idx="8">
                  <c:v>2010:Q1</c:v>
                </c:pt>
                <c:pt idx="9">
                  <c:v>2010:Q2</c:v>
                </c:pt>
                <c:pt idx="10">
                  <c:v>2010:Q3</c:v>
                </c:pt>
                <c:pt idx="11">
                  <c:v>2010:Q4</c:v>
                </c:pt>
                <c:pt idx="12">
                  <c:v>2011:Q1</c:v>
                </c:pt>
                <c:pt idx="13">
                  <c:v>2011:Q2</c:v>
                </c:pt>
                <c:pt idx="14">
                  <c:v>2011:Q3</c:v>
                </c:pt>
                <c:pt idx="15">
                  <c:v>2011:Q4</c:v>
                </c:pt>
                <c:pt idx="16">
                  <c:v>2012:Q1</c:v>
                </c:pt>
                <c:pt idx="17">
                  <c:v>2012:Q2</c:v>
                </c:pt>
                <c:pt idx="18">
                  <c:v>2012:Q3</c:v>
                </c:pt>
                <c:pt idx="19">
                  <c:v>2012:Q4</c:v>
                </c:pt>
                <c:pt idx="20">
                  <c:v>2013:Q1</c:v>
                </c:pt>
                <c:pt idx="21">
                  <c:v>2013:Q2</c:v>
                </c:pt>
                <c:pt idx="22">
                  <c:v>2013:Q3</c:v>
                </c:pt>
                <c:pt idx="23">
                  <c:v>2013:Q4</c:v>
                </c:pt>
                <c:pt idx="24">
                  <c:v>2014:Q1</c:v>
                </c:pt>
                <c:pt idx="25">
                  <c:v>2014:Q2</c:v>
                </c:pt>
                <c:pt idx="26">
                  <c:v>2014:Q3</c:v>
                </c:pt>
                <c:pt idx="27">
                  <c:v>2014:Q4</c:v>
                </c:pt>
                <c:pt idx="28">
                  <c:v>2015:Q1</c:v>
                </c:pt>
                <c:pt idx="29">
                  <c:v>2015:Q2</c:v>
                </c:pt>
                <c:pt idx="30">
                  <c:v>2015:Q3</c:v>
                </c:pt>
                <c:pt idx="31">
                  <c:v>2015:Q4</c:v>
                </c:pt>
                <c:pt idx="32">
                  <c:v>2016:Q1</c:v>
                </c:pt>
                <c:pt idx="33">
                  <c:v>2016:Q2</c:v>
                </c:pt>
                <c:pt idx="34">
                  <c:v>2016:Q3</c:v>
                </c:pt>
                <c:pt idx="35">
                  <c:v>2016:Q4</c:v>
                </c:pt>
                <c:pt idx="36">
                  <c:v>2017:Q1</c:v>
                </c:pt>
                <c:pt idx="37">
                  <c:v>2017:Q2</c:v>
                </c:pt>
                <c:pt idx="38">
                  <c:v>2017:Q3</c:v>
                </c:pt>
                <c:pt idx="39">
                  <c:v>2017:Q4</c:v>
                </c:pt>
                <c:pt idx="40">
                  <c:v>2018:Q1</c:v>
                </c:pt>
                <c:pt idx="41">
                  <c:v>2018:Q2</c:v>
                </c:pt>
                <c:pt idx="42">
                  <c:v>2018:Q3</c:v>
                </c:pt>
                <c:pt idx="43">
                  <c:v>2018:Q4</c:v>
                </c:pt>
                <c:pt idx="44">
                  <c:v>2019:Q1</c:v>
                </c:pt>
                <c:pt idx="45">
                  <c:v>2019:Q2</c:v>
                </c:pt>
                <c:pt idx="46">
                  <c:v>2019:Q3</c:v>
                </c:pt>
                <c:pt idx="47">
                  <c:v>2019:Q4</c:v>
                </c:pt>
                <c:pt idx="48">
                  <c:v>2020:Q1</c:v>
                </c:pt>
                <c:pt idx="49">
                  <c:v>2020:Q2</c:v>
                </c:pt>
              </c:strCache>
            </c:strRef>
          </c:cat>
          <c:val>
            <c:numRef>
              <c:f>RealGDP!$E$17:$E$67</c:f>
              <c:numCache>
                <c:formatCode>_("$"* #,##0.00_);_("$"* \(#,##0.00\);_("$"* "-"??_);_(@_)</c:formatCode>
                <c:ptCount val="51"/>
                <c:pt idx="0">
                  <c:v>54.2485</c:v>
                </c:pt>
                <c:pt idx="1">
                  <c:v>54.415699999999994</c:v>
                </c:pt>
                <c:pt idx="2">
                  <c:v>54.131699999999995</c:v>
                </c:pt>
                <c:pt idx="3">
                  <c:v>52.887999999999998</c:v>
                </c:pt>
                <c:pt idx="4">
                  <c:v>52.387099999999997</c:v>
                </c:pt>
                <c:pt idx="5">
                  <c:v>52.8127</c:v>
                </c:pt>
                <c:pt idx="6">
                  <c:v>53.336300000000001</c:v>
                </c:pt>
                <c:pt idx="7">
                  <c:v>53.718199999999996</c:v>
                </c:pt>
                <c:pt idx="8">
                  <c:v>53.543599999999998</c:v>
                </c:pt>
                <c:pt idx="9">
                  <c:v>53.854699999999994</c:v>
                </c:pt>
                <c:pt idx="10">
                  <c:v>54.148000000000003</c:v>
                </c:pt>
                <c:pt idx="11">
                  <c:v>53.558399999999999</c:v>
                </c:pt>
                <c:pt idx="12">
                  <c:v>53.095099999999995</c:v>
                </c:pt>
                <c:pt idx="13">
                  <c:v>52.902699999999996</c:v>
                </c:pt>
                <c:pt idx="14">
                  <c:v>52.750099999999996</c:v>
                </c:pt>
                <c:pt idx="15">
                  <c:v>53.603099999999998</c:v>
                </c:pt>
                <c:pt idx="16">
                  <c:v>53.212400000000002</c:v>
                </c:pt>
                <c:pt idx="17">
                  <c:v>53.485500000000002</c:v>
                </c:pt>
                <c:pt idx="18">
                  <c:v>52.886800000000001</c:v>
                </c:pt>
                <c:pt idx="19">
                  <c:v>51.911099999999998</c:v>
                </c:pt>
                <c:pt idx="20">
                  <c:v>52.743400000000001</c:v>
                </c:pt>
                <c:pt idx="21">
                  <c:v>52.163400000000003</c:v>
                </c:pt>
                <c:pt idx="22">
                  <c:v>52.360900000000001</c:v>
                </c:pt>
                <c:pt idx="23">
                  <c:v>52.752300000000005</c:v>
                </c:pt>
                <c:pt idx="24">
                  <c:v>52.729699999999994</c:v>
                </c:pt>
                <c:pt idx="25">
                  <c:v>53.252800000000001</c:v>
                </c:pt>
                <c:pt idx="26">
                  <c:v>53.621000000000002</c:v>
                </c:pt>
                <c:pt idx="27">
                  <c:v>54.0685</c:v>
                </c:pt>
                <c:pt idx="28">
                  <c:v>53.140300000000003</c:v>
                </c:pt>
                <c:pt idx="29">
                  <c:v>53.784699999999994</c:v>
                </c:pt>
                <c:pt idx="30">
                  <c:v>53.816000000000003</c:v>
                </c:pt>
                <c:pt idx="31">
                  <c:v>54.381</c:v>
                </c:pt>
                <c:pt idx="32">
                  <c:v>54.510899999999999</c:v>
                </c:pt>
                <c:pt idx="33">
                  <c:v>55.204900000000002</c:v>
                </c:pt>
                <c:pt idx="34">
                  <c:v>55.075400000000002</c:v>
                </c:pt>
                <c:pt idx="35">
                  <c:v>55.561099999999996</c:v>
                </c:pt>
                <c:pt idx="36">
                  <c:v>55.712300000000006</c:v>
                </c:pt>
                <c:pt idx="37">
                  <c:v>55.674300000000002</c:v>
                </c:pt>
                <c:pt idx="38">
                  <c:v>56.102899999999998</c:v>
                </c:pt>
                <c:pt idx="39">
                  <c:v>56.369300000000003</c:v>
                </c:pt>
                <c:pt idx="40">
                  <c:v>56.998800000000003</c:v>
                </c:pt>
                <c:pt idx="41">
                  <c:v>57.324300000000001</c:v>
                </c:pt>
                <c:pt idx="42">
                  <c:v>57.569800000000001</c:v>
                </c:pt>
                <c:pt idx="43">
                  <c:v>57.317699999999995</c:v>
                </c:pt>
                <c:pt idx="44">
                  <c:v>58.383300000000006</c:v>
                </c:pt>
                <c:pt idx="45">
                  <c:v>58.325800000000001</c:v>
                </c:pt>
                <c:pt idx="46">
                  <c:v>58.9878</c:v>
                </c:pt>
                <c:pt idx="47">
                  <c:v>59.476599999999998</c:v>
                </c:pt>
                <c:pt idx="48">
                  <c:v>58.4876</c:v>
                </c:pt>
                <c:pt idx="49">
                  <c:v>52.632300000000001</c:v>
                </c:pt>
              </c:numCache>
            </c:numRef>
          </c:val>
          <c:smooth val="0"/>
          <c:extLst>
            <c:ext xmlns:c16="http://schemas.microsoft.com/office/drawing/2014/chart" uri="{C3380CC4-5D6E-409C-BE32-E72D297353CC}">
              <c16:uniqueId val="{00000001-C4D9-4677-80DC-9BBCD17CD823}"/>
            </c:ext>
          </c:extLst>
        </c:ser>
        <c:dLbls>
          <c:showLegendKey val="0"/>
          <c:showVal val="0"/>
          <c:showCatName val="0"/>
          <c:showSerName val="0"/>
          <c:showPercent val="0"/>
          <c:showBubbleSize val="0"/>
        </c:dLbls>
        <c:smooth val="0"/>
        <c:axId val="453419216"/>
        <c:axId val="453414296"/>
      </c:lineChart>
      <c:catAx>
        <c:axId val="45341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453414296"/>
        <c:crosses val="autoZero"/>
        <c:auto val="1"/>
        <c:lblAlgn val="ctr"/>
        <c:lblOffset val="100"/>
        <c:tickLblSkip val="4"/>
        <c:noMultiLvlLbl val="0"/>
      </c:catAx>
      <c:valAx>
        <c:axId val="453414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US"/>
                  <a:t>Real GDP (billions of chained 2012 dollars)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45341921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en-US"/>
              <a:t>Unemployment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manualLayout>
          <c:layoutTarget val="inner"/>
          <c:xMode val="edge"/>
          <c:yMode val="edge"/>
          <c:x val="8.564028250966696E-2"/>
          <c:y val="0.18114504281421839"/>
          <c:w val="0.86955683812950857"/>
          <c:h val="0.55362831670332702"/>
        </c:manualLayout>
      </c:layout>
      <c:lineChart>
        <c:grouping val="standard"/>
        <c:varyColors val="0"/>
        <c:ser>
          <c:idx val="0"/>
          <c:order val="0"/>
          <c:tx>
            <c:strRef>
              <c:f>'Unemployment Rate'!$C$4</c:f>
              <c:strCache>
                <c:ptCount val="1"/>
                <c:pt idx="0">
                  <c:v>United States</c:v>
                </c:pt>
              </c:strCache>
            </c:strRef>
          </c:tx>
          <c:spPr>
            <a:ln w="28575" cap="rnd">
              <a:solidFill>
                <a:schemeClr val="accent1"/>
              </a:solidFill>
              <a:round/>
            </a:ln>
            <a:effectLst/>
          </c:spPr>
          <c:marker>
            <c:symbol val="none"/>
          </c:marker>
          <c:cat>
            <c:numRef>
              <c:f>'Unemployment Rate'!$A$473:$A$626</c:f>
              <c:numCache>
                <c:formatCode>General</c:formatCode>
                <c:ptCount val="142"/>
                <c:pt idx="0">
                  <c:v>2009</c:v>
                </c:pt>
                <c:pt idx="1">
                  <c:v>2009</c:v>
                </c:pt>
                <c:pt idx="2">
                  <c:v>2009</c:v>
                </c:pt>
                <c:pt idx="3">
                  <c:v>2009</c:v>
                </c:pt>
                <c:pt idx="4">
                  <c:v>2009</c:v>
                </c:pt>
                <c:pt idx="5">
                  <c:v>2009</c:v>
                </c:pt>
                <c:pt idx="6">
                  <c:v>2009</c:v>
                </c:pt>
                <c:pt idx="7">
                  <c:v>2009</c:v>
                </c:pt>
                <c:pt idx="8">
                  <c:v>2009</c:v>
                </c:pt>
                <c:pt idx="9">
                  <c:v>2009</c:v>
                </c:pt>
                <c:pt idx="10">
                  <c:v>2009</c:v>
                </c:pt>
                <c:pt idx="11">
                  <c:v>2009</c:v>
                </c:pt>
                <c:pt idx="12">
                  <c:v>2010</c:v>
                </c:pt>
                <c:pt idx="13">
                  <c:v>2010</c:v>
                </c:pt>
                <c:pt idx="14">
                  <c:v>2010</c:v>
                </c:pt>
                <c:pt idx="15">
                  <c:v>2010</c:v>
                </c:pt>
                <c:pt idx="16">
                  <c:v>2010</c:v>
                </c:pt>
                <c:pt idx="17">
                  <c:v>2010</c:v>
                </c:pt>
                <c:pt idx="18">
                  <c:v>2010</c:v>
                </c:pt>
                <c:pt idx="19">
                  <c:v>2010</c:v>
                </c:pt>
                <c:pt idx="20">
                  <c:v>2010</c:v>
                </c:pt>
                <c:pt idx="21">
                  <c:v>2010</c:v>
                </c:pt>
                <c:pt idx="22">
                  <c:v>2010</c:v>
                </c:pt>
                <c:pt idx="23">
                  <c:v>2010</c:v>
                </c:pt>
                <c:pt idx="24">
                  <c:v>2011</c:v>
                </c:pt>
                <c:pt idx="25">
                  <c:v>2011</c:v>
                </c:pt>
                <c:pt idx="26">
                  <c:v>2011</c:v>
                </c:pt>
                <c:pt idx="27">
                  <c:v>2011</c:v>
                </c:pt>
                <c:pt idx="28">
                  <c:v>2011</c:v>
                </c:pt>
                <c:pt idx="29">
                  <c:v>2011</c:v>
                </c:pt>
                <c:pt idx="30">
                  <c:v>2011</c:v>
                </c:pt>
                <c:pt idx="31">
                  <c:v>2011</c:v>
                </c:pt>
                <c:pt idx="32">
                  <c:v>2011</c:v>
                </c:pt>
                <c:pt idx="33">
                  <c:v>2011</c:v>
                </c:pt>
                <c:pt idx="34">
                  <c:v>2011</c:v>
                </c:pt>
                <c:pt idx="35">
                  <c:v>2011</c:v>
                </c:pt>
                <c:pt idx="36">
                  <c:v>2012</c:v>
                </c:pt>
                <c:pt idx="37">
                  <c:v>2012</c:v>
                </c:pt>
                <c:pt idx="38">
                  <c:v>2012</c:v>
                </c:pt>
                <c:pt idx="39">
                  <c:v>2012</c:v>
                </c:pt>
                <c:pt idx="40">
                  <c:v>2012</c:v>
                </c:pt>
                <c:pt idx="41">
                  <c:v>2012</c:v>
                </c:pt>
                <c:pt idx="42">
                  <c:v>2012</c:v>
                </c:pt>
                <c:pt idx="43">
                  <c:v>2012</c:v>
                </c:pt>
                <c:pt idx="44">
                  <c:v>2012</c:v>
                </c:pt>
                <c:pt idx="45">
                  <c:v>2012</c:v>
                </c:pt>
                <c:pt idx="46">
                  <c:v>2012</c:v>
                </c:pt>
                <c:pt idx="47">
                  <c:v>2012</c:v>
                </c:pt>
                <c:pt idx="48">
                  <c:v>2013</c:v>
                </c:pt>
                <c:pt idx="49">
                  <c:v>2013</c:v>
                </c:pt>
                <c:pt idx="50">
                  <c:v>2013</c:v>
                </c:pt>
                <c:pt idx="51">
                  <c:v>2013</c:v>
                </c:pt>
                <c:pt idx="52">
                  <c:v>2013</c:v>
                </c:pt>
                <c:pt idx="53">
                  <c:v>2013</c:v>
                </c:pt>
                <c:pt idx="54">
                  <c:v>2013</c:v>
                </c:pt>
                <c:pt idx="55">
                  <c:v>2013</c:v>
                </c:pt>
                <c:pt idx="56">
                  <c:v>2013</c:v>
                </c:pt>
                <c:pt idx="57">
                  <c:v>2013</c:v>
                </c:pt>
                <c:pt idx="58">
                  <c:v>2013</c:v>
                </c:pt>
                <c:pt idx="59">
                  <c:v>2013</c:v>
                </c:pt>
                <c:pt idx="60">
                  <c:v>2014</c:v>
                </c:pt>
                <c:pt idx="61">
                  <c:v>2014</c:v>
                </c:pt>
                <c:pt idx="62">
                  <c:v>2014</c:v>
                </c:pt>
                <c:pt idx="63">
                  <c:v>2014</c:v>
                </c:pt>
                <c:pt idx="64">
                  <c:v>2014</c:v>
                </c:pt>
                <c:pt idx="65">
                  <c:v>2014</c:v>
                </c:pt>
                <c:pt idx="66">
                  <c:v>2014</c:v>
                </c:pt>
                <c:pt idx="67">
                  <c:v>2014</c:v>
                </c:pt>
                <c:pt idx="68">
                  <c:v>2014</c:v>
                </c:pt>
                <c:pt idx="69">
                  <c:v>2014</c:v>
                </c:pt>
                <c:pt idx="70">
                  <c:v>2014</c:v>
                </c:pt>
                <c:pt idx="71">
                  <c:v>2014</c:v>
                </c:pt>
                <c:pt idx="72">
                  <c:v>2015</c:v>
                </c:pt>
                <c:pt idx="73">
                  <c:v>2015</c:v>
                </c:pt>
                <c:pt idx="74">
                  <c:v>2015</c:v>
                </c:pt>
                <c:pt idx="75">
                  <c:v>2015</c:v>
                </c:pt>
                <c:pt idx="76">
                  <c:v>2015</c:v>
                </c:pt>
                <c:pt idx="77">
                  <c:v>2015</c:v>
                </c:pt>
                <c:pt idx="78">
                  <c:v>2015</c:v>
                </c:pt>
                <c:pt idx="79">
                  <c:v>2015</c:v>
                </c:pt>
                <c:pt idx="80">
                  <c:v>2015</c:v>
                </c:pt>
                <c:pt idx="81">
                  <c:v>2015</c:v>
                </c:pt>
                <c:pt idx="82">
                  <c:v>2015</c:v>
                </c:pt>
                <c:pt idx="83">
                  <c:v>2015</c:v>
                </c:pt>
                <c:pt idx="84">
                  <c:v>2016</c:v>
                </c:pt>
                <c:pt idx="85">
                  <c:v>2016</c:v>
                </c:pt>
                <c:pt idx="86">
                  <c:v>2016</c:v>
                </c:pt>
                <c:pt idx="87">
                  <c:v>2016</c:v>
                </c:pt>
                <c:pt idx="88">
                  <c:v>2016</c:v>
                </c:pt>
                <c:pt idx="89">
                  <c:v>2016</c:v>
                </c:pt>
                <c:pt idx="90">
                  <c:v>2016</c:v>
                </c:pt>
                <c:pt idx="91">
                  <c:v>2016</c:v>
                </c:pt>
                <c:pt idx="92">
                  <c:v>2016</c:v>
                </c:pt>
                <c:pt idx="93">
                  <c:v>2016</c:v>
                </c:pt>
                <c:pt idx="94">
                  <c:v>2016</c:v>
                </c:pt>
                <c:pt idx="95">
                  <c:v>2016</c:v>
                </c:pt>
                <c:pt idx="96">
                  <c:v>2017</c:v>
                </c:pt>
                <c:pt idx="97">
                  <c:v>2017</c:v>
                </c:pt>
                <c:pt idx="98">
                  <c:v>2017</c:v>
                </c:pt>
                <c:pt idx="99">
                  <c:v>2017</c:v>
                </c:pt>
                <c:pt idx="100">
                  <c:v>2017</c:v>
                </c:pt>
                <c:pt idx="101">
                  <c:v>2017</c:v>
                </c:pt>
                <c:pt idx="102">
                  <c:v>2017</c:v>
                </c:pt>
                <c:pt idx="103">
                  <c:v>2017</c:v>
                </c:pt>
                <c:pt idx="104">
                  <c:v>2017</c:v>
                </c:pt>
                <c:pt idx="105">
                  <c:v>2017</c:v>
                </c:pt>
                <c:pt idx="106">
                  <c:v>2017</c:v>
                </c:pt>
                <c:pt idx="107">
                  <c:v>2017</c:v>
                </c:pt>
                <c:pt idx="108">
                  <c:v>2018</c:v>
                </c:pt>
                <c:pt idx="109">
                  <c:v>2018</c:v>
                </c:pt>
                <c:pt idx="110">
                  <c:v>2018</c:v>
                </c:pt>
                <c:pt idx="111">
                  <c:v>2018</c:v>
                </c:pt>
                <c:pt idx="112">
                  <c:v>2018</c:v>
                </c:pt>
                <c:pt idx="113">
                  <c:v>2018</c:v>
                </c:pt>
                <c:pt idx="114">
                  <c:v>2018</c:v>
                </c:pt>
                <c:pt idx="115">
                  <c:v>2018</c:v>
                </c:pt>
                <c:pt idx="116">
                  <c:v>2018</c:v>
                </c:pt>
                <c:pt idx="117">
                  <c:v>2018</c:v>
                </c:pt>
                <c:pt idx="118">
                  <c:v>2018</c:v>
                </c:pt>
                <c:pt idx="119">
                  <c:v>2018</c:v>
                </c:pt>
                <c:pt idx="120">
                  <c:v>2019</c:v>
                </c:pt>
                <c:pt idx="121">
                  <c:v>2019</c:v>
                </c:pt>
                <c:pt idx="122">
                  <c:v>2019</c:v>
                </c:pt>
                <c:pt idx="123">
                  <c:v>2019</c:v>
                </c:pt>
                <c:pt idx="124">
                  <c:v>2019</c:v>
                </c:pt>
                <c:pt idx="125">
                  <c:v>2019</c:v>
                </c:pt>
                <c:pt idx="126">
                  <c:v>2019</c:v>
                </c:pt>
                <c:pt idx="127">
                  <c:v>2019</c:v>
                </c:pt>
                <c:pt idx="128">
                  <c:v>2019</c:v>
                </c:pt>
                <c:pt idx="129">
                  <c:v>2019</c:v>
                </c:pt>
                <c:pt idx="130">
                  <c:v>2019</c:v>
                </c:pt>
                <c:pt idx="131">
                  <c:v>2020</c:v>
                </c:pt>
                <c:pt idx="132">
                  <c:v>2020</c:v>
                </c:pt>
                <c:pt idx="133">
                  <c:v>2020</c:v>
                </c:pt>
                <c:pt idx="134">
                  <c:v>2020</c:v>
                </c:pt>
                <c:pt idx="135">
                  <c:v>2020</c:v>
                </c:pt>
                <c:pt idx="136">
                  <c:v>2020</c:v>
                </c:pt>
                <c:pt idx="137">
                  <c:v>2020</c:v>
                </c:pt>
                <c:pt idx="138">
                  <c:v>2020</c:v>
                </c:pt>
                <c:pt idx="139">
                  <c:v>2020</c:v>
                </c:pt>
                <c:pt idx="140">
                  <c:v>2020</c:v>
                </c:pt>
              </c:numCache>
            </c:numRef>
          </c:cat>
          <c:val>
            <c:numRef>
              <c:f>'Unemployment Rate'!$C$474:$C$626</c:f>
              <c:numCache>
                <c:formatCode>#0.0</c:formatCode>
                <c:ptCount val="141"/>
                <c:pt idx="0">
                  <c:v>8.3000000000000007</c:v>
                </c:pt>
                <c:pt idx="1">
                  <c:v>8.6999999999999993</c:v>
                </c:pt>
                <c:pt idx="2">
                  <c:v>9</c:v>
                </c:pt>
                <c:pt idx="3">
                  <c:v>9.4</c:v>
                </c:pt>
                <c:pt idx="4">
                  <c:v>9.5</c:v>
                </c:pt>
                <c:pt idx="5">
                  <c:v>9.5</c:v>
                </c:pt>
                <c:pt idx="6">
                  <c:v>9.6</c:v>
                </c:pt>
                <c:pt idx="7">
                  <c:v>9.8000000000000007</c:v>
                </c:pt>
                <c:pt idx="8">
                  <c:v>10</c:v>
                </c:pt>
                <c:pt idx="9">
                  <c:v>9.9</c:v>
                </c:pt>
                <c:pt idx="10">
                  <c:v>9.9</c:v>
                </c:pt>
                <c:pt idx="11">
                  <c:v>9.8000000000000007</c:v>
                </c:pt>
                <c:pt idx="12">
                  <c:v>9.8000000000000007</c:v>
                </c:pt>
                <c:pt idx="13">
                  <c:v>9.9</c:v>
                </c:pt>
                <c:pt idx="14">
                  <c:v>9.9</c:v>
                </c:pt>
                <c:pt idx="15">
                  <c:v>9.6</c:v>
                </c:pt>
                <c:pt idx="16">
                  <c:v>9.4</c:v>
                </c:pt>
                <c:pt idx="17">
                  <c:v>9.4</c:v>
                </c:pt>
                <c:pt idx="18">
                  <c:v>9.5</c:v>
                </c:pt>
                <c:pt idx="19">
                  <c:v>9.5</c:v>
                </c:pt>
                <c:pt idx="20">
                  <c:v>9.4</c:v>
                </c:pt>
                <c:pt idx="21">
                  <c:v>9.8000000000000007</c:v>
                </c:pt>
                <c:pt idx="22">
                  <c:v>9.3000000000000007</c:v>
                </c:pt>
                <c:pt idx="23">
                  <c:v>9.1</c:v>
                </c:pt>
                <c:pt idx="24">
                  <c:v>9</c:v>
                </c:pt>
                <c:pt idx="25">
                  <c:v>9</c:v>
                </c:pt>
                <c:pt idx="26">
                  <c:v>9.1</c:v>
                </c:pt>
                <c:pt idx="27">
                  <c:v>9</c:v>
                </c:pt>
                <c:pt idx="28">
                  <c:v>9.1</c:v>
                </c:pt>
                <c:pt idx="29">
                  <c:v>9</c:v>
                </c:pt>
                <c:pt idx="30">
                  <c:v>9</c:v>
                </c:pt>
                <c:pt idx="31">
                  <c:v>9</c:v>
                </c:pt>
                <c:pt idx="32">
                  <c:v>8.8000000000000007</c:v>
                </c:pt>
                <c:pt idx="33">
                  <c:v>8.6</c:v>
                </c:pt>
                <c:pt idx="34">
                  <c:v>8.5</c:v>
                </c:pt>
                <c:pt idx="35">
                  <c:v>8.3000000000000007</c:v>
                </c:pt>
                <c:pt idx="36">
                  <c:v>8.3000000000000007</c:v>
                </c:pt>
                <c:pt idx="37">
                  <c:v>8.1999999999999993</c:v>
                </c:pt>
                <c:pt idx="38">
                  <c:v>8.1999999999999993</c:v>
                </c:pt>
                <c:pt idx="39">
                  <c:v>8.1999999999999993</c:v>
                </c:pt>
                <c:pt idx="40">
                  <c:v>8.1999999999999993</c:v>
                </c:pt>
                <c:pt idx="41">
                  <c:v>8.1999999999999993</c:v>
                </c:pt>
                <c:pt idx="42">
                  <c:v>8.1</c:v>
                </c:pt>
                <c:pt idx="43">
                  <c:v>7.8</c:v>
                </c:pt>
                <c:pt idx="44">
                  <c:v>7.8</c:v>
                </c:pt>
                <c:pt idx="45">
                  <c:v>7.7</c:v>
                </c:pt>
                <c:pt idx="46">
                  <c:v>7.9</c:v>
                </c:pt>
                <c:pt idx="47">
                  <c:v>8</c:v>
                </c:pt>
                <c:pt idx="48">
                  <c:v>7.7</c:v>
                </c:pt>
                <c:pt idx="49">
                  <c:v>7.5</c:v>
                </c:pt>
                <c:pt idx="50">
                  <c:v>7.6</c:v>
                </c:pt>
                <c:pt idx="51">
                  <c:v>7.5</c:v>
                </c:pt>
                <c:pt idx="52">
                  <c:v>7.5</c:v>
                </c:pt>
                <c:pt idx="53">
                  <c:v>7.3</c:v>
                </c:pt>
                <c:pt idx="54">
                  <c:v>7.2</c:v>
                </c:pt>
                <c:pt idx="55">
                  <c:v>7.2</c:v>
                </c:pt>
                <c:pt idx="56">
                  <c:v>7.2</c:v>
                </c:pt>
                <c:pt idx="57">
                  <c:v>6.9</c:v>
                </c:pt>
                <c:pt idx="58">
                  <c:v>6.7</c:v>
                </c:pt>
                <c:pt idx="59">
                  <c:v>6.6</c:v>
                </c:pt>
                <c:pt idx="60">
                  <c:v>6.7</c:v>
                </c:pt>
                <c:pt idx="61">
                  <c:v>6.7</c:v>
                </c:pt>
                <c:pt idx="62">
                  <c:v>6.2</c:v>
                </c:pt>
                <c:pt idx="63">
                  <c:v>6.3</c:v>
                </c:pt>
                <c:pt idx="64">
                  <c:v>6.1</c:v>
                </c:pt>
                <c:pt idx="65">
                  <c:v>6.2</c:v>
                </c:pt>
                <c:pt idx="66">
                  <c:v>6.1</c:v>
                </c:pt>
                <c:pt idx="67">
                  <c:v>5.9</c:v>
                </c:pt>
                <c:pt idx="68">
                  <c:v>5.7</c:v>
                </c:pt>
                <c:pt idx="69">
                  <c:v>5.8</c:v>
                </c:pt>
                <c:pt idx="70">
                  <c:v>5.6</c:v>
                </c:pt>
                <c:pt idx="71">
                  <c:v>5.7</c:v>
                </c:pt>
                <c:pt idx="72">
                  <c:v>5.5</c:v>
                </c:pt>
                <c:pt idx="73">
                  <c:v>5.4</c:v>
                </c:pt>
                <c:pt idx="74">
                  <c:v>5.4</c:v>
                </c:pt>
                <c:pt idx="75">
                  <c:v>5.6</c:v>
                </c:pt>
                <c:pt idx="76">
                  <c:v>5.3</c:v>
                </c:pt>
                <c:pt idx="77">
                  <c:v>5.2</c:v>
                </c:pt>
                <c:pt idx="78">
                  <c:v>5.0999999999999996</c:v>
                </c:pt>
                <c:pt idx="79">
                  <c:v>5</c:v>
                </c:pt>
                <c:pt idx="80">
                  <c:v>5</c:v>
                </c:pt>
                <c:pt idx="81">
                  <c:v>5.0999999999999996</c:v>
                </c:pt>
                <c:pt idx="82">
                  <c:v>5</c:v>
                </c:pt>
                <c:pt idx="83">
                  <c:v>4.9000000000000004</c:v>
                </c:pt>
                <c:pt idx="84">
                  <c:v>4.9000000000000004</c:v>
                </c:pt>
                <c:pt idx="85">
                  <c:v>5</c:v>
                </c:pt>
                <c:pt idx="86">
                  <c:v>5</c:v>
                </c:pt>
                <c:pt idx="87">
                  <c:v>4.8</c:v>
                </c:pt>
                <c:pt idx="88">
                  <c:v>4.9000000000000004</c:v>
                </c:pt>
                <c:pt idx="89">
                  <c:v>4.8</c:v>
                </c:pt>
                <c:pt idx="90">
                  <c:v>4.9000000000000004</c:v>
                </c:pt>
                <c:pt idx="91">
                  <c:v>5</c:v>
                </c:pt>
                <c:pt idx="92">
                  <c:v>4.9000000000000004</c:v>
                </c:pt>
                <c:pt idx="93">
                  <c:v>4.7</c:v>
                </c:pt>
                <c:pt idx="94">
                  <c:v>4.7</c:v>
                </c:pt>
                <c:pt idx="95">
                  <c:v>4.7</c:v>
                </c:pt>
                <c:pt idx="96">
                  <c:v>4.5999999999999996</c:v>
                </c:pt>
                <c:pt idx="97">
                  <c:v>4.4000000000000004</c:v>
                </c:pt>
                <c:pt idx="98">
                  <c:v>4.4000000000000004</c:v>
                </c:pt>
                <c:pt idx="99">
                  <c:v>4.4000000000000004</c:v>
                </c:pt>
                <c:pt idx="100">
                  <c:v>4.3</c:v>
                </c:pt>
                <c:pt idx="101">
                  <c:v>4.3</c:v>
                </c:pt>
                <c:pt idx="102">
                  <c:v>4.4000000000000004</c:v>
                </c:pt>
                <c:pt idx="103">
                  <c:v>4.2</c:v>
                </c:pt>
                <c:pt idx="104">
                  <c:v>4.0999999999999996</c:v>
                </c:pt>
                <c:pt idx="105">
                  <c:v>4.2</c:v>
                </c:pt>
                <c:pt idx="106">
                  <c:v>4.0999999999999996</c:v>
                </c:pt>
                <c:pt idx="107">
                  <c:v>4.0999999999999996</c:v>
                </c:pt>
                <c:pt idx="108">
                  <c:v>4.0999999999999996</c:v>
                </c:pt>
                <c:pt idx="109">
                  <c:v>4</c:v>
                </c:pt>
                <c:pt idx="110">
                  <c:v>4</c:v>
                </c:pt>
                <c:pt idx="111">
                  <c:v>3.8</c:v>
                </c:pt>
                <c:pt idx="112">
                  <c:v>4</c:v>
                </c:pt>
                <c:pt idx="113">
                  <c:v>3.8</c:v>
                </c:pt>
                <c:pt idx="114">
                  <c:v>3.8</c:v>
                </c:pt>
                <c:pt idx="115">
                  <c:v>3.7</c:v>
                </c:pt>
                <c:pt idx="116">
                  <c:v>3.8</c:v>
                </c:pt>
                <c:pt idx="117">
                  <c:v>3.7</c:v>
                </c:pt>
                <c:pt idx="118">
                  <c:v>3.9</c:v>
                </c:pt>
                <c:pt idx="119">
                  <c:v>4</c:v>
                </c:pt>
                <c:pt idx="120">
                  <c:v>3.8</c:v>
                </c:pt>
                <c:pt idx="121">
                  <c:v>3.8</c:v>
                </c:pt>
                <c:pt idx="122">
                  <c:v>3.6</c:v>
                </c:pt>
                <c:pt idx="123">
                  <c:v>3.6</c:v>
                </c:pt>
                <c:pt idx="124">
                  <c:v>3.7</c:v>
                </c:pt>
                <c:pt idx="125">
                  <c:v>3.7</c:v>
                </c:pt>
                <c:pt idx="126">
                  <c:v>3.7</c:v>
                </c:pt>
                <c:pt idx="127">
                  <c:v>3.5</c:v>
                </c:pt>
                <c:pt idx="128">
                  <c:v>3.6</c:v>
                </c:pt>
                <c:pt idx="129">
                  <c:v>3.5</c:v>
                </c:pt>
                <c:pt idx="130">
                  <c:v>3.5</c:v>
                </c:pt>
                <c:pt idx="131">
                  <c:v>3.6</c:v>
                </c:pt>
                <c:pt idx="132">
                  <c:v>3.5</c:v>
                </c:pt>
                <c:pt idx="133">
                  <c:v>4.4000000000000004</c:v>
                </c:pt>
                <c:pt idx="134">
                  <c:v>14.7</c:v>
                </c:pt>
                <c:pt idx="135">
                  <c:v>13.3</c:v>
                </c:pt>
                <c:pt idx="136">
                  <c:v>11.1</c:v>
                </c:pt>
                <c:pt idx="137">
                  <c:v>10.199999999999999</c:v>
                </c:pt>
                <c:pt idx="138">
                  <c:v>8.4</c:v>
                </c:pt>
                <c:pt idx="139">
                  <c:v>7.9</c:v>
                </c:pt>
              </c:numCache>
            </c:numRef>
          </c:val>
          <c:smooth val="0"/>
          <c:extLst>
            <c:ext xmlns:c16="http://schemas.microsoft.com/office/drawing/2014/chart" uri="{C3380CC4-5D6E-409C-BE32-E72D297353CC}">
              <c16:uniqueId val="{00000000-FF4D-4B3F-AD19-8B550E111669}"/>
            </c:ext>
          </c:extLst>
        </c:ser>
        <c:ser>
          <c:idx val="2"/>
          <c:order val="1"/>
          <c:tx>
            <c:strRef>
              <c:f>'Unemployment Rate'!$E$4</c:f>
              <c:strCache>
                <c:ptCount val="1"/>
                <c:pt idx="0">
                  <c:v> Maine</c:v>
                </c:pt>
              </c:strCache>
            </c:strRef>
          </c:tx>
          <c:spPr>
            <a:ln w="28575" cap="rnd">
              <a:solidFill>
                <a:srgbClr val="A5A5A5"/>
              </a:solidFill>
              <a:round/>
            </a:ln>
            <a:effectLst/>
          </c:spPr>
          <c:marker>
            <c:symbol val="none"/>
          </c:marker>
          <c:cat>
            <c:numRef>
              <c:f>'Unemployment Rate'!$A$473:$A$626</c:f>
              <c:numCache>
                <c:formatCode>General</c:formatCode>
                <c:ptCount val="142"/>
                <c:pt idx="0">
                  <c:v>2009</c:v>
                </c:pt>
                <c:pt idx="1">
                  <c:v>2009</c:v>
                </c:pt>
                <c:pt idx="2">
                  <c:v>2009</c:v>
                </c:pt>
                <c:pt idx="3">
                  <c:v>2009</c:v>
                </c:pt>
                <c:pt idx="4">
                  <c:v>2009</c:v>
                </c:pt>
                <c:pt idx="5">
                  <c:v>2009</c:v>
                </c:pt>
                <c:pt idx="6">
                  <c:v>2009</c:v>
                </c:pt>
                <c:pt idx="7">
                  <c:v>2009</c:v>
                </c:pt>
                <c:pt idx="8">
                  <c:v>2009</c:v>
                </c:pt>
                <c:pt idx="9">
                  <c:v>2009</c:v>
                </c:pt>
                <c:pt idx="10">
                  <c:v>2009</c:v>
                </c:pt>
                <c:pt idx="11">
                  <c:v>2009</c:v>
                </c:pt>
                <c:pt idx="12">
                  <c:v>2010</c:v>
                </c:pt>
                <c:pt idx="13">
                  <c:v>2010</c:v>
                </c:pt>
                <c:pt idx="14">
                  <c:v>2010</c:v>
                </c:pt>
                <c:pt idx="15">
                  <c:v>2010</c:v>
                </c:pt>
                <c:pt idx="16">
                  <c:v>2010</c:v>
                </c:pt>
                <c:pt idx="17">
                  <c:v>2010</c:v>
                </c:pt>
                <c:pt idx="18">
                  <c:v>2010</c:v>
                </c:pt>
                <c:pt idx="19">
                  <c:v>2010</c:v>
                </c:pt>
                <c:pt idx="20">
                  <c:v>2010</c:v>
                </c:pt>
                <c:pt idx="21">
                  <c:v>2010</c:v>
                </c:pt>
                <c:pt idx="22">
                  <c:v>2010</c:v>
                </c:pt>
                <c:pt idx="23">
                  <c:v>2010</c:v>
                </c:pt>
                <c:pt idx="24">
                  <c:v>2011</c:v>
                </c:pt>
                <c:pt idx="25">
                  <c:v>2011</c:v>
                </c:pt>
                <c:pt idx="26">
                  <c:v>2011</c:v>
                </c:pt>
                <c:pt idx="27">
                  <c:v>2011</c:v>
                </c:pt>
                <c:pt idx="28">
                  <c:v>2011</c:v>
                </c:pt>
                <c:pt idx="29">
                  <c:v>2011</c:v>
                </c:pt>
                <c:pt idx="30">
                  <c:v>2011</c:v>
                </c:pt>
                <c:pt idx="31">
                  <c:v>2011</c:v>
                </c:pt>
                <c:pt idx="32">
                  <c:v>2011</c:v>
                </c:pt>
                <c:pt idx="33">
                  <c:v>2011</c:v>
                </c:pt>
                <c:pt idx="34">
                  <c:v>2011</c:v>
                </c:pt>
                <c:pt idx="35">
                  <c:v>2011</c:v>
                </c:pt>
                <c:pt idx="36">
                  <c:v>2012</c:v>
                </c:pt>
                <c:pt idx="37">
                  <c:v>2012</c:v>
                </c:pt>
                <c:pt idx="38">
                  <c:v>2012</c:v>
                </c:pt>
                <c:pt idx="39">
                  <c:v>2012</c:v>
                </c:pt>
                <c:pt idx="40">
                  <c:v>2012</c:v>
                </c:pt>
                <c:pt idx="41">
                  <c:v>2012</c:v>
                </c:pt>
                <c:pt idx="42">
                  <c:v>2012</c:v>
                </c:pt>
                <c:pt idx="43">
                  <c:v>2012</c:v>
                </c:pt>
                <c:pt idx="44">
                  <c:v>2012</c:v>
                </c:pt>
                <c:pt idx="45">
                  <c:v>2012</c:v>
                </c:pt>
                <c:pt idx="46">
                  <c:v>2012</c:v>
                </c:pt>
                <c:pt idx="47">
                  <c:v>2012</c:v>
                </c:pt>
                <c:pt idx="48">
                  <c:v>2013</c:v>
                </c:pt>
                <c:pt idx="49">
                  <c:v>2013</c:v>
                </c:pt>
                <c:pt idx="50">
                  <c:v>2013</c:v>
                </c:pt>
                <c:pt idx="51">
                  <c:v>2013</c:v>
                </c:pt>
                <c:pt idx="52">
                  <c:v>2013</c:v>
                </c:pt>
                <c:pt idx="53">
                  <c:v>2013</c:v>
                </c:pt>
                <c:pt idx="54">
                  <c:v>2013</c:v>
                </c:pt>
                <c:pt idx="55">
                  <c:v>2013</c:v>
                </c:pt>
                <c:pt idx="56">
                  <c:v>2013</c:v>
                </c:pt>
                <c:pt idx="57">
                  <c:v>2013</c:v>
                </c:pt>
                <c:pt idx="58">
                  <c:v>2013</c:v>
                </c:pt>
                <c:pt idx="59">
                  <c:v>2013</c:v>
                </c:pt>
                <c:pt idx="60">
                  <c:v>2014</c:v>
                </c:pt>
                <c:pt idx="61">
                  <c:v>2014</c:v>
                </c:pt>
                <c:pt idx="62">
                  <c:v>2014</c:v>
                </c:pt>
                <c:pt idx="63">
                  <c:v>2014</c:v>
                </c:pt>
                <c:pt idx="64">
                  <c:v>2014</c:v>
                </c:pt>
                <c:pt idx="65">
                  <c:v>2014</c:v>
                </c:pt>
                <c:pt idx="66">
                  <c:v>2014</c:v>
                </c:pt>
                <c:pt idx="67">
                  <c:v>2014</c:v>
                </c:pt>
                <c:pt idx="68">
                  <c:v>2014</c:v>
                </c:pt>
                <c:pt idx="69">
                  <c:v>2014</c:v>
                </c:pt>
                <c:pt idx="70">
                  <c:v>2014</c:v>
                </c:pt>
                <c:pt idx="71">
                  <c:v>2014</c:v>
                </c:pt>
                <c:pt idx="72">
                  <c:v>2015</c:v>
                </c:pt>
                <c:pt idx="73">
                  <c:v>2015</c:v>
                </c:pt>
                <c:pt idx="74">
                  <c:v>2015</c:v>
                </c:pt>
                <c:pt idx="75">
                  <c:v>2015</c:v>
                </c:pt>
                <c:pt idx="76">
                  <c:v>2015</c:v>
                </c:pt>
                <c:pt idx="77">
                  <c:v>2015</c:v>
                </c:pt>
                <c:pt idx="78">
                  <c:v>2015</c:v>
                </c:pt>
                <c:pt idx="79">
                  <c:v>2015</c:v>
                </c:pt>
                <c:pt idx="80">
                  <c:v>2015</c:v>
                </c:pt>
                <c:pt idx="81">
                  <c:v>2015</c:v>
                </c:pt>
                <c:pt idx="82">
                  <c:v>2015</c:v>
                </c:pt>
                <c:pt idx="83">
                  <c:v>2015</c:v>
                </c:pt>
                <c:pt idx="84">
                  <c:v>2016</c:v>
                </c:pt>
                <c:pt idx="85">
                  <c:v>2016</c:v>
                </c:pt>
                <c:pt idx="86">
                  <c:v>2016</c:v>
                </c:pt>
                <c:pt idx="87">
                  <c:v>2016</c:v>
                </c:pt>
                <c:pt idx="88">
                  <c:v>2016</c:v>
                </c:pt>
                <c:pt idx="89">
                  <c:v>2016</c:v>
                </c:pt>
                <c:pt idx="90">
                  <c:v>2016</c:v>
                </c:pt>
                <c:pt idx="91">
                  <c:v>2016</c:v>
                </c:pt>
                <c:pt idx="92">
                  <c:v>2016</c:v>
                </c:pt>
                <c:pt idx="93">
                  <c:v>2016</c:v>
                </c:pt>
                <c:pt idx="94">
                  <c:v>2016</c:v>
                </c:pt>
                <c:pt idx="95">
                  <c:v>2016</c:v>
                </c:pt>
                <c:pt idx="96">
                  <c:v>2017</c:v>
                </c:pt>
                <c:pt idx="97">
                  <c:v>2017</c:v>
                </c:pt>
                <c:pt idx="98">
                  <c:v>2017</c:v>
                </c:pt>
                <c:pt idx="99">
                  <c:v>2017</c:v>
                </c:pt>
                <c:pt idx="100">
                  <c:v>2017</c:v>
                </c:pt>
                <c:pt idx="101">
                  <c:v>2017</c:v>
                </c:pt>
                <c:pt idx="102">
                  <c:v>2017</c:v>
                </c:pt>
                <c:pt idx="103">
                  <c:v>2017</c:v>
                </c:pt>
                <c:pt idx="104">
                  <c:v>2017</c:v>
                </c:pt>
                <c:pt idx="105">
                  <c:v>2017</c:v>
                </c:pt>
                <c:pt idx="106">
                  <c:v>2017</c:v>
                </c:pt>
                <c:pt idx="107">
                  <c:v>2017</c:v>
                </c:pt>
                <c:pt idx="108">
                  <c:v>2018</c:v>
                </c:pt>
                <c:pt idx="109">
                  <c:v>2018</c:v>
                </c:pt>
                <c:pt idx="110">
                  <c:v>2018</c:v>
                </c:pt>
                <c:pt idx="111">
                  <c:v>2018</c:v>
                </c:pt>
                <c:pt idx="112">
                  <c:v>2018</c:v>
                </c:pt>
                <c:pt idx="113">
                  <c:v>2018</c:v>
                </c:pt>
                <c:pt idx="114">
                  <c:v>2018</c:v>
                </c:pt>
                <c:pt idx="115">
                  <c:v>2018</c:v>
                </c:pt>
                <c:pt idx="116">
                  <c:v>2018</c:v>
                </c:pt>
                <c:pt idx="117">
                  <c:v>2018</c:v>
                </c:pt>
                <c:pt idx="118">
                  <c:v>2018</c:v>
                </c:pt>
                <c:pt idx="119">
                  <c:v>2018</c:v>
                </c:pt>
                <c:pt idx="120">
                  <c:v>2019</c:v>
                </c:pt>
                <c:pt idx="121">
                  <c:v>2019</c:v>
                </c:pt>
                <c:pt idx="122">
                  <c:v>2019</c:v>
                </c:pt>
                <c:pt idx="123">
                  <c:v>2019</c:v>
                </c:pt>
                <c:pt idx="124">
                  <c:v>2019</c:v>
                </c:pt>
                <c:pt idx="125">
                  <c:v>2019</c:v>
                </c:pt>
                <c:pt idx="126">
                  <c:v>2019</c:v>
                </c:pt>
                <c:pt idx="127">
                  <c:v>2019</c:v>
                </c:pt>
                <c:pt idx="128">
                  <c:v>2019</c:v>
                </c:pt>
                <c:pt idx="129">
                  <c:v>2019</c:v>
                </c:pt>
                <c:pt idx="130">
                  <c:v>2019</c:v>
                </c:pt>
                <c:pt idx="131">
                  <c:v>2020</c:v>
                </c:pt>
                <c:pt idx="132">
                  <c:v>2020</c:v>
                </c:pt>
                <c:pt idx="133">
                  <c:v>2020</c:v>
                </c:pt>
                <c:pt idx="134">
                  <c:v>2020</c:v>
                </c:pt>
                <c:pt idx="135">
                  <c:v>2020</c:v>
                </c:pt>
                <c:pt idx="136">
                  <c:v>2020</c:v>
                </c:pt>
                <c:pt idx="137">
                  <c:v>2020</c:v>
                </c:pt>
                <c:pt idx="138">
                  <c:v>2020</c:v>
                </c:pt>
                <c:pt idx="139">
                  <c:v>2020</c:v>
                </c:pt>
                <c:pt idx="140">
                  <c:v>2020</c:v>
                </c:pt>
              </c:numCache>
            </c:numRef>
          </c:cat>
          <c:val>
            <c:numRef>
              <c:f>'Unemployment Rate'!$E$474:$E$626</c:f>
              <c:numCache>
                <c:formatCode>General</c:formatCode>
                <c:ptCount val="141"/>
                <c:pt idx="0">
                  <c:v>7.7</c:v>
                </c:pt>
                <c:pt idx="1">
                  <c:v>8</c:v>
                </c:pt>
                <c:pt idx="2">
                  <c:v>8.1999999999999993</c:v>
                </c:pt>
                <c:pt idx="3">
                  <c:v>8.1999999999999993</c:v>
                </c:pt>
                <c:pt idx="4">
                  <c:v>8.3000000000000007</c:v>
                </c:pt>
                <c:pt idx="5">
                  <c:v>8.1999999999999993</c:v>
                </c:pt>
                <c:pt idx="6">
                  <c:v>8.1999999999999993</c:v>
                </c:pt>
                <c:pt idx="7">
                  <c:v>8.1999999999999993</c:v>
                </c:pt>
                <c:pt idx="8">
                  <c:v>8.1999999999999993</c:v>
                </c:pt>
                <c:pt idx="9">
                  <c:v>8.1999999999999993</c:v>
                </c:pt>
                <c:pt idx="10">
                  <c:v>8.1999999999999993</c:v>
                </c:pt>
                <c:pt idx="11" formatCode="#0.0">
                  <c:v>8.1999999999999993</c:v>
                </c:pt>
                <c:pt idx="12" formatCode="#0.0">
                  <c:v>8.1999999999999993</c:v>
                </c:pt>
                <c:pt idx="13" formatCode="#0.0">
                  <c:v>8.1999999999999993</c:v>
                </c:pt>
                <c:pt idx="14" formatCode="#0.0">
                  <c:v>8.1</c:v>
                </c:pt>
                <c:pt idx="15" formatCode="#0.0">
                  <c:v>8.1</c:v>
                </c:pt>
                <c:pt idx="16" formatCode="#0.0">
                  <c:v>8.1</c:v>
                </c:pt>
                <c:pt idx="17" formatCode="#0.0">
                  <c:v>8.1</c:v>
                </c:pt>
                <c:pt idx="18" formatCode="#0.0">
                  <c:v>8.1</c:v>
                </c:pt>
                <c:pt idx="19" formatCode="#0.0">
                  <c:v>8.1</c:v>
                </c:pt>
                <c:pt idx="20" formatCode="#0.0">
                  <c:v>8.1</c:v>
                </c:pt>
                <c:pt idx="21" formatCode="#0.0">
                  <c:v>8.1</c:v>
                </c:pt>
                <c:pt idx="22" formatCode="#0.0">
                  <c:v>8.1</c:v>
                </c:pt>
                <c:pt idx="23" formatCode="#0.0">
                  <c:v>8.1</c:v>
                </c:pt>
                <c:pt idx="24" formatCode="#0.0">
                  <c:v>8.1</c:v>
                </c:pt>
                <c:pt idx="25" formatCode="#0.0">
                  <c:v>8</c:v>
                </c:pt>
                <c:pt idx="26" formatCode="#0.0">
                  <c:v>8</c:v>
                </c:pt>
                <c:pt idx="27" formatCode="#0.0">
                  <c:v>8</c:v>
                </c:pt>
                <c:pt idx="28" formatCode="#0.0">
                  <c:v>7.9</c:v>
                </c:pt>
                <c:pt idx="29" formatCode="#0.0">
                  <c:v>7.9</c:v>
                </c:pt>
                <c:pt idx="30" formatCode="#0.0">
                  <c:v>7.8</c:v>
                </c:pt>
                <c:pt idx="31" formatCode="#0.0">
                  <c:v>7.8</c:v>
                </c:pt>
                <c:pt idx="32" formatCode="#0.0">
                  <c:v>7.7</c:v>
                </c:pt>
                <c:pt idx="33" formatCode="#0.0">
                  <c:v>7.7</c:v>
                </c:pt>
                <c:pt idx="34" formatCode="#0.0">
                  <c:v>7.7</c:v>
                </c:pt>
                <c:pt idx="35" formatCode="#0.0">
                  <c:v>7.7</c:v>
                </c:pt>
                <c:pt idx="36" formatCode="#0.0">
                  <c:v>7.7</c:v>
                </c:pt>
                <c:pt idx="37" formatCode="#0.0">
                  <c:v>7.6</c:v>
                </c:pt>
                <c:pt idx="38" formatCode="#0.0">
                  <c:v>7.6</c:v>
                </c:pt>
                <c:pt idx="39" formatCode="#0.0">
                  <c:v>7.6</c:v>
                </c:pt>
                <c:pt idx="40" formatCode="#0.0">
                  <c:v>7.5</c:v>
                </c:pt>
                <c:pt idx="41" formatCode="#0.0">
                  <c:v>7.5</c:v>
                </c:pt>
                <c:pt idx="42" formatCode="#0.0">
                  <c:v>7.4</c:v>
                </c:pt>
                <c:pt idx="43" formatCode="#0.0">
                  <c:v>7.3</c:v>
                </c:pt>
                <c:pt idx="44" formatCode="#0.0">
                  <c:v>7.3</c:v>
                </c:pt>
                <c:pt idx="45" formatCode="#0.0">
                  <c:v>7.2</c:v>
                </c:pt>
                <c:pt idx="46" formatCode="#0.0">
                  <c:v>7.2</c:v>
                </c:pt>
                <c:pt idx="47" formatCode="#0.0">
                  <c:v>7.1</c:v>
                </c:pt>
                <c:pt idx="48" formatCode="#0.0">
                  <c:v>7.1</c:v>
                </c:pt>
                <c:pt idx="49" formatCode="#0.0">
                  <c:v>7</c:v>
                </c:pt>
                <c:pt idx="50" formatCode="#0.0">
                  <c:v>6.9</c:v>
                </c:pt>
                <c:pt idx="51" formatCode="#0.0">
                  <c:v>6.8</c:v>
                </c:pt>
                <c:pt idx="52" formatCode="#0.0">
                  <c:v>6.7</c:v>
                </c:pt>
                <c:pt idx="53" formatCode="#0.0">
                  <c:v>6.6</c:v>
                </c:pt>
                <c:pt idx="54" formatCode="#0.0">
                  <c:v>6.5</c:v>
                </c:pt>
                <c:pt idx="55" formatCode="#0.0">
                  <c:v>6.4</c:v>
                </c:pt>
                <c:pt idx="56" formatCode="#0.0">
                  <c:v>6.3</c:v>
                </c:pt>
                <c:pt idx="57" formatCode="#0.0">
                  <c:v>6.2</c:v>
                </c:pt>
                <c:pt idx="58" formatCode="#0.0">
                  <c:v>6.2</c:v>
                </c:pt>
                <c:pt idx="59" formatCode="#0.0">
                  <c:v>6.1</c:v>
                </c:pt>
                <c:pt idx="60" formatCode="#0.0">
                  <c:v>6</c:v>
                </c:pt>
                <c:pt idx="61" formatCode="#0.0">
                  <c:v>5.9</c:v>
                </c:pt>
                <c:pt idx="62" formatCode="#0.0">
                  <c:v>5.8</c:v>
                </c:pt>
                <c:pt idx="63" formatCode="#0.0">
                  <c:v>5.7</c:v>
                </c:pt>
                <c:pt idx="64" formatCode="#0.0">
                  <c:v>5.7</c:v>
                </c:pt>
                <c:pt idx="65" formatCode="#0.0">
                  <c:v>5.6</c:v>
                </c:pt>
                <c:pt idx="66" formatCode="#0.0">
                  <c:v>5.5</c:v>
                </c:pt>
                <c:pt idx="67" formatCode="#0.0">
                  <c:v>5.4</c:v>
                </c:pt>
                <c:pt idx="68" formatCode="#0.0">
                  <c:v>5.3</c:v>
                </c:pt>
                <c:pt idx="69" formatCode="#0.0">
                  <c:v>5.2</c:v>
                </c:pt>
                <c:pt idx="70" formatCode="#0.0">
                  <c:v>5.0999999999999996</c:v>
                </c:pt>
                <c:pt idx="71" formatCode="#0.0">
                  <c:v>5</c:v>
                </c:pt>
                <c:pt idx="72" formatCode="#0.0">
                  <c:v>4.8</c:v>
                </c:pt>
                <c:pt idx="73" formatCode="#0.0">
                  <c:v>4.7</c:v>
                </c:pt>
                <c:pt idx="74" formatCode="#0.0">
                  <c:v>4.5999999999999996</c:v>
                </c:pt>
                <c:pt idx="75" formatCode="#0.0">
                  <c:v>4.5</c:v>
                </c:pt>
                <c:pt idx="76" formatCode="#0.0">
                  <c:v>4.4000000000000004</c:v>
                </c:pt>
                <c:pt idx="77" formatCode="#0.0">
                  <c:v>4.3</c:v>
                </c:pt>
                <c:pt idx="78" formatCode="#0.0">
                  <c:v>4.2</c:v>
                </c:pt>
                <c:pt idx="79" formatCode="#0.0">
                  <c:v>4.0999999999999996</c:v>
                </c:pt>
                <c:pt idx="80" formatCode="#0.0">
                  <c:v>4</c:v>
                </c:pt>
                <c:pt idx="81" formatCode="#0.0">
                  <c:v>4</c:v>
                </c:pt>
                <c:pt idx="82" formatCode="#0.0">
                  <c:v>4</c:v>
                </c:pt>
                <c:pt idx="83" formatCode="#0.0">
                  <c:v>3.9</c:v>
                </c:pt>
                <c:pt idx="84" formatCode="#0.0">
                  <c:v>3.9</c:v>
                </c:pt>
                <c:pt idx="85" formatCode="#0.0">
                  <c:v>3.9</c:v>
                </c:pt>
                <c:pt idx="86" formatCode="#0.0">
                  <c:v>3.8</c:v>
                </c:pt>
                <c:pt idx="87" formatCode="#0.0">
                  <c:v>3.8</c:v>
                </c:pt>
                <c:pt idx="88" formatCode="#0.0">
                  <c:v>3.8</c:v>
                </c:pt>
                <c:pt idx="89" formatCode="#0.0">
                  <c:v>3.8</c:v>
                </c:pt>
                <c:pt idx="90" formatCode="#0.0">
                  <c:v>3.7</c:v>
                </c:pt>
                <c:pt idx="91" formatCode="#0.0">
                  <c:v>3.7</c:v>
                </c:pt>
                <c:pt idx="92" formatCode="#0.0">
                  <c:v>3.7</c:v>
                </c:pt>
                <c:pt idx="93" formatCode="#0.0">
                  <c:v>3.6</c:v>
                </c:pt>
                <c:pt idx="94" formatCode="#0.0">
                  <c:v>3.6</c:v>
                </c:pt>
                <c:pt idx="95" formatCode="#0.0">
                  <c:v>3.6</c:v>
                </c:pt>
                <c:pt idx="96" formatCode="#0.0">
                  <c:v>3.5</c:v>
                </c:pt>
                <c:pt idx="97" formatCode="#0.0">
                  <c:v>3.5</c:v>
                </c:pt>
                <c:pt idx="98" formatCode="#0.0">
                  <c:v>3.5</c:v>
                </c:pt>
                <c:pt idx="99" formatCode="#0.0">
                  <c:v>3.5</c:v>
                </c:pt>
                <c:pt idx="100" formatCode="#0.0">
                  <c:v>3.4</c:v>
                </c:pt>
                <c:pt idx="101" formatCode="#0.0">
                  <c:v>3.4</c:v>
                </c:pt>
                <c:pt idx="102" formatCode="#0.0">
                  <c:v>3.3</c:v>
                </c:pt>
                <c:pt idx="103" formatCode="#0.0">
                  <c:v>3.3</c:v>
                </c:pt>
                <c:pt idx="104" formatCode="#0.0">
                  <c:v>3.2</c:v>
                </c:pt>
                <c:pt idx="105" formatCode="#0.0">
                  <c:v>3.2</c:v>
                </c:pt>
                <c:pt idx="106" formatCode="#0.0">
                  <c:v>3.1</c:v>
                </c:pt>
                <c:pt idx="107" formatCode="#0.0">
                  <c:v>3.1</c:v>
                </c:pt>
                <c:pt idx="108" formatCode="#0.0">
                  <c:v>3.1</c:v>
                </c:pt>
                <c:pt idx="109" formatCode="#0.0">
                  <c:v>3.2</c:v>
                </c:pt>
                <c:pt idx="110" formatCode="#0.0">
                  <c:v>3.2</c:v>
                </c:pt>
                <c:pt idx="111" formatCode="#0.0">
                  <c:v>3.2</c:v>
                </c:pt>
                <c:pt idx="112" formatCode="#0.0">
                  <c:v>3.3</c:v>
                </c:pt>
                <c:pt idx="113" formatCode="#0.0">
                  <c:v>3.3</c:v>
                </c:pt>
                <c:pt idx="114" formatCode="#0.0">
                  <c:v>3.3</c:v>
                </c:pt>
                <c:pt idx="115" formatCode="#0.0">
                  <c:v>3.3</c:v>
                </c:pt>
                <c:pt idx="116" formatCode="#0.0">
                  <c:v>3.3</c:v>
                </c:pt>
                <c:pt idx="117" formatCode="#0.0">
                  <c:v>3.3</c:v>
                </c:pt>
                <c:pt idx="118" formatCode="#0.0">
                  <c:v>3.3</c:v>
                </c:pt>
                <c:pt idx="119" formatCode="#0.0">
                  <c:v>3.2</c:v>
                </c:pt>
                <c:pt idx="120" formatCode="#0.0">
                  <c:v>3.2</c:v>
                </c:pt>
                <c:pt idx="121" formatCode="#0.0">
                  <c:v>3.1</c:v>
                </c:pt>
                <c:pt idx="122" formatCode="#0.0">
                  <c:v>3.1</c:v>
                </c:pt>
                <c:pt idx="123" formatCode="#0.0">
                  <c:v>3</c:v>
                </c:pt>
                <c:pt idx="124" formatCode="#0.0">
                  <c:v>2.9</c:v>
                </c:pt>
                <c:pt idx="125" formatCode="#0.0">
                  <c:v>2.9</c:v>
                </c:pt>
                <c:pt idx="126" formatCode="#0.0">
                  <c:v>2.9</c:v>
                </c:pt>
                <c:pt idx="127" formatCode="#0.0">
                  <c:v>2.9</c:v>
                </c:pt>
                <c:pt idx="128" formatCode="#0.0">
                  <c:v>3</c:v>
                </c:pt>
                <c:pt idx="129" formatCode="#0.0">
                  <c:v>3</c:v>
                </c:pt>
                <c:pt idx="130" formatCode="#0.0">
                  <c:v>3</c:v>
                </c:pt>
                <c:pt idx="131" formatCode="#0.0">
                  <c:v>3.1</c:v>
                </c:pt>
                <c:pt idx="132" formatCode="#0.0">
                  <c:v>3.2</c:v>
                </c:pt>
                <c:pt idx="133" formatCode="#0.0">
                  <c:v>3</c:v>
                </c:pt>
                <c:pt idx="134" formatCode="#0.0">
                  <c:v>10.4</c:v>
                </c:pt>
                <c:pt idx="135" formatCode="#0.0">
                  <c:v>9.4</c:v>
                </c:pt>
                <c:pt idx="136" formatCode="#0.0">
                  <c:v>6.7</c:v>
                </c:pt>
                <c:pt idx="137" formatCode="#0.0">
                  <c:v>9.9</c:v>
                </c:pt>
                <c:pt idx="138" formatCode="#0.0">
                  <c:v>7</c:v>
                </c:pt>
                <c:pt idx="139" formatCode="#0.0">
                  <c:v>6.1</c:v>
                </c:pt>
              </c:numCache>
            </c:numRef>
          </c:val>
          <c:smooth val="0"/>
          <c:extLst>
            <c:ext xmlns:c16="http://schemas.microsoft.com/office/drawing/2014/chart" uri="{C3380CC4-5D6E-409C-BE32-E72D297353CC}">
              <c16:uniqueId val="{00000001-FF4D-4B3F-AD19-8B550E111669}"/>
            </c:ext>
          </c:extLst>
        </c:ser>
        <c:dLbls>
          <c:showLegendKey val="0"/>
          <c:showVal val="0"/>
          <c:showCatName val="0"/>
          <c:showSerName val="0"/>
          <c:showPercent val="0"/>
          <c:showBubbleSize val="0"/>
        </c:dLbls>
        <c:smooth val="0"/>
        <c:axId val="400332296"/>
        <c:axId val="400330984"/>
      </c:lineChart>
      <c:catAx>
        <c:axId val="40033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400330984"/>
        <c:crosses val="autoZero"/>
        <c:auto val="1"/>
        <c:lblAlgn val="ctr"/>
        <c:lblOffset val="100"/>
        <c:tickLblSkip val="12"/>
        <c:noMultiLvlLbl val="1"/>
      </c:catAx>
      <c:valAx>
        <c:axId val="400330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US"/>
                  <a:t>Unemployment Rate, Percent</a:t>
                </a:r>
              </a:p>
            </c:rich>
          </c:tx>
          <c:layout>
            <c:manualLayout>
              <c:xMode val="edge"/>
              <c:yMode val="edge"/>
              <c:x val="1.6666666666666666E-2"/>
              <c:y val="0.323114114784234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400332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Garamond" panose="02020404030301010803" pitchFamily="18" charset="0"/>
                <a:ea typeface="+mn-ea"/>
                <a:cs typeface="+mn-cs"/>
              </a:defRPr>
            </a:pPr>
            <a:r>
              <a:rPr lang="en-US"/>
              <a:t>Labor force participation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Garamond" panose="02020404030301010803" pitchFamily="18" charset="0"/>
              <a:ea typeface="+mn-ea"/>
              <a:cs typeface="+mn-cs"/>
            </a:defRPr>
          </a:pPr>
          <a:endParaRPr lang="en-US"/>
        </a:p>
      </c:txPr>
    </c:title>
    <c:autoTitleDeleted val="0"/>
    <c:plotArea>
      <c:layout/>
      <c:lineChart>
        <c:grouping val="standard"/>
        <c:varyColors val="0"/>
        <c:ser>
          <c:idx val="0"/>
          <c:order val="0"/>
          <c:tx>
            <c:strRef>
              <c:f>'Labor force participation'!$E$1</c:f>
              <c:strCache>
                <c:ptCount val="1"/>
                <c:pt idx="0">
                  <c:v>US</c:v>
                </c:pt>
              </c:strCache>
            </c:strRef>
          </c:tx>
          <c:spPr>
            <a:ln w="28575" cap="rnd">
              <a:solidFill>
                <a:schemeClr val="accent1"/>
              </a:solidFill>
              <a:round/>
            </a:ln>
            <a:effectLst/>
          </c:spPr>
          <c:marker>
            <c:symbol val="none"/>
          </c:marker>
          <c:cat>
            <c:numRef>
              <c:f>'Labor force participation'!$A$6:$A$155</c:f>
              <c:numCache>
                <c:formatCode>General</c:formatCode>
                <c:ptCount val="142"/>
                <c:pt idx="0">
                  <c:v>2009</c:v>
                </c:pt>
                <c:pt idx="1">
                  <c:v>2009</c:v>
                </c:pt>
                <c:pt idx="2">
                  <c:v>2009</c:v>
                </c:pt>
                <c:pt idx="3">
                  <c:v>2009</c:v>
                </c:pt>
                <c:pt idx="4">
                  <c:v>2009</c:v>
                </c:pt>
                <c:pt idx="5">
                  <c:v>2009</c:v>
                </c:pt>
                <c:pt idx="6">
                  <c:v>2009</c:v>
                </c:pt>
                <c:pt idx="7">
                  <c:v>2009</c:v>
                </c:pt>
                <c:pt idx="8">
                  <c:v>2009</c:v>
                </c:pt>
                <c:pt idx="9">
                  <c:v>2009</c:v>
                </c:pt>
                <c:pt idx="10">
                  <c:v>2009</c:v>
                </c:pt>
                <c:pt idx="11">
                  <c:v>2009</c:v>
                </c:pt>
                <c:pt idx="12">
                  <c:v>2010</c:v>
                </c:pt>
                <c:pt idx="13">
                  <c:v>2010</c:v>
                </c:pt>
                <c:pt idx="14">
                  <c:v>2010</c:v>
                </c:pt>
                <c:pt idx="15">
                  <c:v>2010</c:v>
                </c:pt>
                <c:pt idx="16">
                  <c:v>2010</c:v>
                </c:pt>
                <c:pt idx="17">
                  <c:v>2010</c:v>
                </c:pt>
                <c:pt idx="18">
                  <c:v>2010</c:v>
                </c:pt>
                <c:pt idx="19">
                  <c:v>2010</c:v>
                </c:pt>
                <c:pt idx="20">
                  <c:v>2010</c:v>
                </c:pt>
                <c:pt idx="21">
                  <c:v>2010</c:v>
                </c:pt>
                <c:pt idx="22">
                  <c:v>2010</c:v>
                </c:pt>
                <c:pt idx="23">
                  <c:v>2010</c:v>
                </c:pt>
                <c:pt idx="24">
                  <c:v>2011</c:v>
                </c:pt>
                <c:pt idx="25">
                  <c:v>2011</c:v>
                </c:pt>
                <c:pt idx="26">
                  <c:v>2011</c:v>
                </c:pt>
                <c:pt idx="27">
                  <c:v>2011</c:v>
                </c:pt>
                <c:pt idx="28">
                  <c:v>2011</c:v>
                </c:pt>
                <c:pt idx="29">
                  <c:v>2011</c:v>
                </c:pt>
                <c:pt idx="30">
                  <c:v>2011</c:v>
                </c:pt>
                <c:pt idx="31">
                  <c:v>2011</c:v>
                </c:pt>
                <c:pt idx="32">
                  <c:v>2011</c:v>
                </c:pt>
                <c:pt idx="33">
                  <c:v>2011</c:v>
                </c:pt>
                <c:pt idx="34">
                  <c:v>2011</c:v>
                </c:pt>
                <c:pt idx="35">
                  <c:v>2011</c:v>
                </c:pt>
                <c:pt idx="36">
                  <c:v>2012</c:v>
                </c:pt>
                <c:pt idx="37">
                  <c:v>2012</c:v>
                </c:pt>
                <c:pt idx="38">
                  <c:v>2012</c:v>
                </c:pt>
                <c:pt idx="39">
                  <c:v>2012</c:v>
                </c:pt>
                <c:pt idx="40">
                  <c:v>2012</c:v>
                </c:pt>
                <c:pt idx="41">
                  <c:v>2012</c:v>
                </c:pt>
                <c:pt idx="42">
                  <c:v>2012</c:v>
                </c:pt>
                <c:pt idx="43">
                  <c:v>2012</c:v>
                </c:pt>
                <c:pt idx="44">
                  <c:v>2012</c:v>
                </c:pt>
                <c:pt idx="45">
                  <c:v>2012</c:v>
                </c:pt>
                <c:pt idx="46">
                  <c:v>2012</c:v>
                </c:pt>
                <c:pt idx="47">
                  <c:v>2012</c:v>
                </c:pt>
                <c:pt idx="48">
                  <c:v>2013</c:v>
                </c:pt>
                <c:pt idx="49">
                  <c:v>2013</c:v>
                </c:pt>
                <c:pt idx="50">
                  <c:v>2013</c:v>
                </c:pt>
                <c:pt idx="51">
                  <c:v>2013</c:v>
                </c:pt>
                <c:pt idx="52">
                  <c:v>2013</c:v>
                </c:pt>
                <c:pt idx="53">
                  <c:v>2013</c:v>
                </c:pt>
                <c:pt idx="54">
                  <c:v>2013</c:v>
                </c:pt>
                <c:pt idx="55">
                  <c:v>2013</c:v>
                </c:pt>
                <c:pt idx="56">
                  <c:v>2013</c:v>
                </c:pt>
                <c:pt idx="57">
                  <c:v>2013</c:v>
                </c:pt>
                <c:pt idx="58">
                  <c:v>2013</c:v>
                </c:pt>
                <c:pt idx="59">
                  <c:v>2013</c:v>
                </c:pt>
                <c:pt idx="60">
                  <c:v>2014</c:v>
                </c:pt>
                <c:pt idx="61">
                  <c:v>2014</c:v>
                </c:pt>
                <c:pt idx="62">
                  <c:v>2014</c:v>
                </c:pt>
                <c:pt idx="63">
                  <c:v>2014</c:v>
                </c:pt>
                <c:pt idx="64">
                  <c:v>2014</c:v>
                </c:pt>
                <c:pt idx="65">
                  <c:v>2014</c:v>
                </c:pt>
                <c:pt idx="66">
                  <c:v>2014</c:v>
                </c:pt>
                <c:pt idx="67">
                  <c:v>2014</c:v>
                </c:pt>
                <c:pt idx="68">
                  <c:v>2014</c:v>
                </c:pt>
                <c:pt idx="69">
                  <c:v>2014</c:v>
                </c:pt>
                <c:pt idx="70">
                  <c:v>2014</c:v>
                </c:pt>
                <c:pt idx="71">
                  <c:v>2014</c:v>
                </c:pt>
                <c:pt idx="72">
                  <c:v>2015</c:v>
                </c:pt>
                <c:pt idx="73">
                  <c:v>2015</c:v>
                </c:pt>
                <c:pt idx="74">
                  <c:v>2015</c:v>
                </c:pt>
                <c:pt idx="75">
                  <c:v>2015</c:v>
                </c:pt>
                <c:pt idx="76">
                  <c:v>2015</c:v>
                </c:pt>
                <c:pt idx="77">
                  <c:v>2015</c:v>
                </c:pt>
                <c:pt idx="78">
                  <c:v>2015</c:v>
                </c:pt>
                <c:pt idx="79">
                  <c:v>2015</c:v>
                </c:pt>
                <c:pt idx="80">
                  <c:v>2015</c:v>
                </c:pt>
                <c:pt idx="81">
                  <c:v>2015</c:v>
                </c:pt>
                <c:pt idx="82">
                  <c:v>2015</c:v>
                </c:pt>
                <c:pt idx="83">
                  <c:v>2015</c:v>
                </c:pt>
                <c:pt idx="84">
                  <c:v>2016</c:v>
                </c:pt>
                <c:pt idx="85">
                  <c:v>2016</c:v>
                </c:pt>
                <c:pt idx="86">
                  <c:v>2016</c:v>
                </c:pt>
                <c:pt idx="87">
                  <c:v>2016</c:v>
                </c:pt>
                <c:pt idx="88">
                  <c:v>2016</c:v>
                </c:pt>
                <c:pt idx="89">
                  <c:v>2016</c:v>
                </c:pt>
                <c:pt idx="90">
                  <c:v>2016</c:v>
                </c:pt>
                <c:pt idx="91">
                  <c:v>2016</c:v>
                </c:pt>
                <c:pt idx="92">
                  <c:v>2016</c:v>
                </c:pt>
                <c:pt idx="93">
                  <c:v>2016</c:v>
                </c:pt>
                <c:pt idx="94">
                  <c:v>2016</c:v>
                </c:pt>
                <c:pt idx="95">
                  <c:v>2016</c:v>
                </c:pt>
                <c:pt idx="96">
                  <c:v>2017</c:v>
                </c:pt>
                <c:pt idx="97">
                  <c:v>2017</c:v>
                </c:pt>
                <c:pt idx="98">
                  <c:v>2017</c:v>
                </c:pt>
                <c:pt idx="99">
                  <c:v>2017</c:v>
                </c:pt>
                <c:pt idx="100">
                  <c:v>2017</c:v>
                </c:pt>
                <c:pt idx="101">
                  <c:v>2017</c:v>
                </c:pt>
                <c:pt idx="102">
                  <c:v>2017</c:v>
                </c:pt>
                <c:pt idx="103">
                  <c:v>2017</c:v>
                </c:pt>
                <c:pt idx="104">
                  <c:v>2017</c:v>
                </c:pt>
                <c:pt idx="105">
                  <c:v>2017</c:v>
                </c:pt>
                <c:pt idx="106">
                  <c:v>2017</c:v>
                </c:pt>
                <c:pt idx="107">
                  <c:v>2017</c:v>
                </c:pt>
                <c:pt idx="108">
                  <c:v>2018</c:v>
                </c:pt>
                <c:pt idx="109">
                  <c:v>2018</c:v>
                </c:pt>
                <c:pt idx="110">
                  <c:v>2018</c:v>
                </c:pt>
                <c:pt idx="111">
                  <c:v>2018</c:v>
                </c:pt>
                <c:pt idx="112">
                  <c:v>2018</c:v>
                </c:pt>
                <c:pt idx="113">
                  <c:v>2018</c:v>
                </c:pt>
                <c:pt idx="114">
                  <c:v>2018</c:v>
                </c:pt>
                <c:pt idx="115">
                  <c:v>2018</c:v>
                </c:pt>
                <c:pt idx="116">
                  <c:v>2018</c:v>
                </c:pt>
                <c:pt idx="117">
                  <c:v>2018</c:v>
                </c:pt>
                <c:pt idx="118">
                  <c:v>2018</c:v>
                </c:pt>
                <c:pt idx="119">
                  <c:v>2018</c:v>
                </c:pt>
                <c:pt idx="120">
                  <c:v>2019</c:v>
                </c:pt>
                <c:pt idx="121">
                  <c:v>2019</c:v>
                </c:pt>
                <c:pt idx="122">
                  <c:v>2019</c:v>
                </c:pt>
                <c:pt idx="123">
                  <c:v>2019</c:v>
                </c:pt>
                <c:pt idx="124">
                  <c:v>2019</c:v>
                </c:pt>
                <c:pt idx="125">
                  <c:v>2019</c:v>
                </c:pt>
                <c:pt idx="126">
                  <c:v>2019</c:v>
                </c:pt>
                <c:pt idx="127">
                  <c:v>2019</c:v>
                </c:pt>
                <c:pt idx="128">
                  <c:v>2019</c:v>
                </c:pt>
                <c:pt idx="129">
                  <c:v>2019</c:v>
                </c:pt>
                <c:pt idx="130">
                  <c:v>2019</c:v>
                </c:pt>
                <c:pt idx="131">
                  <c:v>2019</c:v>
                </c:pt>
                <c:pt idx="132">
                  <c:v>2020</c:v>
                </c:pt>
                <c:pt idx="133">
                  <c:v>2020</c:v>
                </c:pt>
                <c:pt idx="134">
                  <c:v>2020</c:v>
                </c:pt>
                <c:pt idx="135">
                  <c:v>2020</c:v>
                </c:pt>
                <c:pt idx="136">
                  <c:v>2020</c:v>
                </c:pt>
                <c:pt idx="137">
                  <c:v>2020</c:v>
                </c:pt>
                <c:pt idx="138">
                  <c:v>2020</c:v>
                </c:pt>
                <c:pt idx="139">
                  <c:v>2020</c:v>
                </c:pt>
                <c:pt idx="140">
                  <c:v>2020</c:v>
                </c:pt>
              </c:numCache>
            </c:numRef>
          </c:cat>
          <c:val>
            <c:numRef>
              <c:f>'Labor force participation'!$E$6:$E$155</c:f>
              <c:numCache>
                <c:formatCode>#0.0</c:formatCode>
                <c:ptCount val="142"/>
                <c:pt idx="0">
                  <c:v>65.7</c:v>
                </c:pt>
                <c:pt idx="1">
                  <c:v>65.8</c:v>
                </c:pt>
                <c:pt idx="2">
                  <c:v>65.599999999999994</c:v>
                </c:pt>
                <c:pt idx="3">
                  <c:v>65.7</c:v>
                </c:pt>
                <c:pt idx="4">
                  <c:v>65.7</c:v>
                </c:pt>
                <c:pt idx="5">
                  <c:v>65.7</c:v>
                </c:pt>
                <c:pt idx="6">
                  <c:v>65.5</c:v>
                </c:pt>
                <c:pt idx="7">
                  <c:v>65.400000000000006</c:v>
                </c:pt>
                <c:pt idx="8">
                  <c:v>65.099999999999994</c:v>
                </c:pt>
                <c:pt idx="9">
                  <c:v>65</c:v>
                </c:pt>
                <c:pt idx="10">
                  <c:v>65</c:v>
                </c:pt>
                <c:pt idx="11">
                  <c:v>64.599999999999994</c:v>
                </c:pt>
                <c:pt idx="12">
                  <c:v>64.8</c:v>
                </c:pt>
                <c:pt idx="13">
                  <c:v>64.900000000000006</c:v>
                </c:pt>
                <c:pt idx="14">
                  <c:v>64.900000000000006</c:v>
                </c:pt>
                <c:pt idx="15">
                  <c:v>65.2</c:v>
                </c:pt>
                <c:pt idx="16">
                  <c:v>64.900000000000006</c:v>
                </c:pt>
                <c:pt idx="17">
                  <c:v>64.599999999999994</c:v>
                </c:pt>
                <c:pt idx="18">
                  <c:v>64.599999999999994</c:v>
                </c:pt>
                <c:pt idx="19">
                  <c:v>64.7</c:v>
                </c:pt>
                <c:pt idx="20">
                  <c:v>64.599999999999994</c:v>
                </c:pt>
                <c:pt idx="21">
                  <c:v>64.400000000000006</c:v>
                </c:pt>
                <c:pt idx="22">
                  <c:v>64.599999999999994</c:v>
                </c:pt>
                <c:pt idx="23">
                  <c:v>64.3</c:v>
                </c:pt>
                <c:pt idx="24">
                  <c:v>64.2</c:v>
                </c:pt>
                <c:pt idx="25">
                  <c:v>64.099999999999994</c:v>
                </c:pt>
                <c:pt idx="26">
                  <c:v>64.2</c:v>
                </c:pt>
                <c:pt idx="27">
                  <c:v>64.2</c:v>
                </c:pt>
                <c:pt idx="28">
                  <c:v>64.099999999999994</c:v>
                </c:pt>
                <c:pt idx="29">
                  <c:v>64</c:v>
                </c:pt>
                <c:pt idx="30">
                  <c:v>64</c:v>
                </c:pt>
                <c:pt idx="31">
                  <c:v>64.099999999999994</c:v>
                </c:pt>
                <c:pt idx="32">
                  <c:v>64.2</c:v>
                </c:pt>
                <c:pt idx="33">
                  <c:v>64.099999999999994</c:v>
                </c:pt>
                <c:pt idx="34">
                  <c:v>64.099999999999994</c:v>
                </c:pt>
                <c:pt idx="35">
                  <c:v>64</c:v>
                </c:pt>
                <c:pt idx="36">
                  <c:v>63.7</c:v>
                </c:pt>
                <c:pt idx="37">
                  <c:v>63.8</c:v>
                </c:pt>
                <c:pt idx="38">
                  <c:v>63.8</c:v>
                </c:pt>
                <c:pt idx="39">
                  <c:v>63.7</c:v>
                </c:pt>
                <c:pt idx="40">
                  <c:v>63.7</c:v>
                </c:pt>
                <c:pt idx="41">
                  <c:v>63.8</c:v>
                </c:pt>
                <c:pt idx="42">
                  <c:v>63.7</c:v>
                </c:pt>
                <c:pt idx="43">
                  <c:v>63.5</c:v>
                </c:pt>
                <c:pt idx="44">
                  <c:v>63.6</c:v>
                </c:pt>
                <c:pt idx="45">
                  <c:v>63.8</c:v>
                </c:pt>
                <c:pt idx="46">
                  <c:v>63.6</c:v>
                </c:pt>
                <c:pt idx="47">
                  <c:v>63.7</c:v>
                </c:pt>
                <c:pt idx="48">
                  <c:v>63.7</c:v>
                </c:pt>
                <c:pt idx="49">
                  <c:v>63.4</c:v>
                </c:pt>
                <c:pt idx="50">
                  <c:v>63.3</c:v>
                </c:pt>
                <c:pt idx="51">
                  <c:v>63.4</c:v>
                </c:pt>
                <c:pt idx="52">
                  <c:v>63.4</c:v>
                </c:pt>
                <c:pt idx="53">
                  <c:v>63.4</c:v>
                </c:pt>
                <c:pt idx="54">
                  <c:v>63.3</c:v>
                </c:pt>
                <c:pt idx="55">
                  <c:v>63.3</c:v>
                </c:pt>
                <c:pt idx="56">
                  <c:v>63.2</c:v>
                </c:pt>
                <c:pt idx="57">
                  <c:v>62.8</c:v>
                </c:pt>
                <c:pt idx="58">
                  <c:v>63</c:v>
                </c:pt>
                <c:pt idx="59">
                  <c:v>62.9</c:v>
                </c:pt>
                <c:pt idx="60">
                  <c:v>62.9</c:v>
                </c:pt>
                <c:pt idx="61">
                  <c:v>62.9</c:v>
                </c:pt>
                <c:pt idx="62">
                  <c:v>63.1</c:v>
                </c:pt>
                <c:pt idx="63">
                  <c:v>62.8</c:v>
                </c:pt>
                <c:pt idx="64">
                  <c:v>62.9</c:v>
                </c:pt>
                <c:pt idx="65">
                  <c:v>62.8</c:v>
                </c:pt>
                <c:pt idx="66">
                  <c:v>62.9</c:v>
                </c:pt>
                <c:pt idx="67">
                  <c:v>62.9</c:v>
                </c:pt>
                <c:pt idx="68">
                  <c:v>62.8</c:v>
                </c:pt>
                <c:pt idx="69">
                  <c:v>62.9</c:v>
                </c:pt>
                <c:pt idx="70">
                  <c:v>62.9</c:v>
                </c:pt>
                <c:pt idx="71">
                  <c:v>62.8</c:v>
                </c:pt>
                <c:pt idx="72">
                  <c:v>62.9</c:v>
                </c:pt>
                <c:pt idx="73">
                  <c:v>62.7</c:v>
                </c:pt>
                <c:pt idx="74">
                  <c:v>62.6</c:v>
                </c:pt>
                <c:pt idx="75">
                  <c:v>62.8</c:v>
                </c:pt>
                <c:pt idx="76">
                  <c:v>62.9</c:v>
                </c:pt>
                <c:pt idx="77">
                  <c:v>62.7</c:v>
                </c:pt>
                <c:pt idx="78">
                  <c:v>62.6</c:v>
                </c:pt>
                <c:pt idx="79">
                  <c:v>62.6</c:v>
                </c:pt>
                <c:pt idx="80">
                  <c:v>62.4</c:v>
                </c:pt>
                <c:pt idx="81">
                  <c:v>62.5</c:v>
                </c:pt>
                <c:pt idx="82">
                  <c:v>62.5</c:v>
                </c:pt>
                <c:pt idx="83">
                  <c:v>62.7</c:v>
                </c:pt>
                <c:pt idx="84">
                  <c:v>62.7</c:v>
                </c:pt>
                <c:pt idx="85">
                  <c:v>62.8</c:v>
                </c:pt>
                <c:pt idx="86">
                  <c:v>62.9</c:v>
                </c:pt>
                <c:pt idx="87">
                  <c:v>62.8</c:v>
                </c:pt>
                <c:pt idx="88">
                  <c:v>62.7</c:v>
                </c:pt>
                <c:pt idx="89">
                  <c:v>62.7</c:v>
                </c:pt>
                <c:pt idx="90">
                  <c:v>62.7</c:v>
                </c:pt>
                <c:pt idx="91">
                  <c:v>62.9</c:v>
                </c:pt>
                <c:pt idx="92">
                  <c:v>62.9</c:v>
                </c:pt>
                <c:pt idx="93">
                  <c:v>62.8</c:v>
                </c:pt>
                <c:pt idx="94">
                  <c:v>62.7</c:v>
                </c:pt>
                <c:pt idx="95">
                  <c:v>62.7</c:v>
                </c:pt>
                <c:pt idx="96">
                  <c:v>62.8</c:v>
                </c:pt>
                <c:pt idx="97">
                  <c:v>62.8</c:v>
                </c:pt>
                <c:pt idx="98">
                  <c:v>62.9</c:v>
                </c:pt>
                <c:pt idx="99">
                  <c:v>63</c:v>
                </c:pt>
                <c:pt idx="100">
                  <c:v>62.8</c:v>
                </c:pt>
                <c:pt idx="101">
                  <c:v>62.8</c:v>
                </c:pt>
                <c:pt idx="102">
                  <c:v>62.8</c:v>
                </c:pt>
                <c:pt idx="103">
                  <c:v>62.9</c:v>
                </c:pt>
                <c:pt idx="104">
                  <c:v>63.1</c:v>
                </c:pt>
                <c:pt idx="105">
                  <c:v>62.7</c:v>
                </c:pt>
                <c:pt idx="106">
                  <c:v>62.7</c:v>
                </c:pt>
                <c:pt idx="107">
                  <c:v>62.7</c:v>
                </c:pt>
                <c:pt idx="108">
                  <c:v>62.7</c:v>
                </c:pt>
                <c:pt idx="109">
                  <c:v>63</c:v>
                </c:pt>
                <c:pt idx="110">
                  <c:v>62.9</c:v>
                </c:pt>
                <c:pt idx="111">
                  <c:v>62.9</c:v>
                </c:pt>
                <c:pt idx="112">
                  <c:v>62.9</c:v>
                </c:pt>
                <c:pt idx="113">
                  <c:v>63</c:v>
                </c:pt>
                <c:pt idx="114">
                  <c:v>62.9</c:v>
                </c:pt>
                <c:pt idx="115">
                  <c:v>62.7</c:v>
                </c:pt>
                <c:pt idx="116">
                  <c:v>62.8</c:v>
                </c:pt>
                <c:pt idx="117">
                  <c:v>62.9</c:v>
                </c:pt>
                <c:pt idx="118">
                  <c:v>62.9</c:v>
                </c:pt>
                <c:pt idx="119">
                  <c:v>63</c:v>
                </c:pt>
                <c:pt idx="120">
                  <c:v>63.2</c:v>
                </c:pt>
                <c:pt idx="121">
                  <c:v>63.1</c:v>
                </c:pt>
                <c:pt idx="122">
                  <c:v>63</c:v>
                </c:pt>
                <c:pt idx="123">
                  <c:v>62.8</c:v>
                </c:pt>
                <c:pt idx="124">
                  <c:v>62.9</c:v>
                </c:pt>
                <c:pt idx="125">
                  <c:v>63</c:v>
                </c:pt>
                <c:pt idx="126">
                  <c:v>63</c:v>
                </c:pt>
                <c:pt idx="127">
                  <c:v>63.2</c:v>
                </c:pt>
                <c:pt idx="128">
                  <c:v>63.2</c:v>
                </c:pt>
                <c:pt idx="129">
                  <c:v>63.3</c:v>
                </c:pt>
                <c:pt idx="130">
                  <c:v>63.2</c:v>
                </c:pt>
                <c:pt idx="131">
                  <c:v>63.2</c:v>
                </c:pt>
                <c:pt idx="132">
                  <c:v>63.4</c:v>
                </c:pt>
                <c:pt idx="133">
                  <c:v>63.4</c:v>
                </c:pt>
                <c:pt idx="134">
                  <c:v>62.7</c:v>
                </c:pt>
                <c:pt idx="135">
                  <c:v>60.2</c:v>
                </c:pt>
                <c:pt idx="136">
                  <c:v>60.8</c:v>
                </c:pt>
                <c:pt idx="137">
                  <c:v>61.5</c:v>
                </c:pt>
                <c:pt idx="138">
                  <c:v>61.4</c:v>
                </c:pt>
                <c:pt idx="139">
                  <c:v>61.7</c:v>
                </c:pt>
                <c:pt idx="140">
                  <c:v>61.4</c:v>
                </c:pt>
              </c:numCache>
            </c:numRef>
          </c:val>
          <c:smooth val="0"/>
          <c:extLst>
            <c:ext xmlns:c16="http://schemas.microsoft.com/office/drawing/2014/chart" uri="{C3380CC4-5D6E-409C-BE32-E72D297353CC}">
              <c16:uniqueId val="{00000000-6F81-457E-AB6D-F5A005DA4BCF}"/>
            </c:ext>
          </c:extLst>
        </c:ser>
        <c:ser>
          <c:idx val="1"/>
          <c:order val="1"/>
          <c:tx>
            <c:strRef>
              <c:f>'Labor force participation'!$D$1</c:f>
              <c:strCache>
                <c:ptCount val="1"/>
                <c:pt idx="0">
                  <c:v>ME</c:v>
                </c:pt>
              </c:strCache>
            </c:strRef>
          </c:tx>
          <c:spPr>
            <a:ln w="28575" cap="rnd">
              <a:solidFill>
                <a:srgbClr val="A5A5A5"/>
              </a:solidFill>
              <a:round/>
            </a:ln>
            <a:effectLst/>
          </c:spPr>
          <c:marker>
            <c:symbol val="none"/>
          </c:marker>
          <c:cat>
            <c:numRef>
              <c:f>'Labor force participation'!$A$6:$A$155</c:f>
              <c:numCache>
                <c:formatCode>General</c:formatCode>
                <c:ptCount val="142"/>
                <c:pt idx="0">
                  <c:v>2009</c:v>
                </c:pt>
                <c:pt idx="1">
                  <c:v>2009</c:v>
                </c:pt>
                <c:pt idx="2">
                  <c:v>2009</c:v>
                </c:pt>
                <c:pt idx="3">
                  <c:v>2009</c:v>
                </c:pt>
                <c:pt idx="4">
                  <c:v>2009</c:v>
                </c:pt>
                <c:pt idx="5">
                  <c:v>2009</c:v>
                </c:pt>
                <c:pt idx="6">
                  <c:v>2009</c:v>
                </c:pt>
                <c:pt idx="7">
                  <c:v>2009</c:v>
                </c:pt>
                <c:pt idx="8">
                  <c:v>2009</c:v>
                </c:pt>
                <c:pt idx="9">
                  <c:v>2009</c:v>
                </c:pt>
                <c:pt idx="10">
                  <c:v>2009</c:v>
                </c:pt>
                <c:pt idx="11">
                  <c:v>2009</c:v>
                </c:pt>
                <c:pt idx="12">
                  <c:v>2010</c:v>
                </c:pt>
                <c:pt idx="13">
                  <c:v>2010</c:v>
                </c:pt>
                <c:pt idx="14">
                  <c:v>2010</c:v>
                </c:pt>
                <c:pt idx="15">
                  <c:v>2010</c:v>
                </c:pt>
                <c:pt idx="16">
                  <c:v>2010</c:v>
                </c:pt>
                <c:pt idx="17">
                  <c:v>2010</c:v>
                </c:pt>
                <c:pt idx="18">
                  <c:v>2010</c:v>
                </c:pt>
                <c:pt idx="19">
                  <c:v>2010</c:v>
                </c:pt>
                <c:pt idx="20">
                  <c:v>2010</c:v>
                </c:pt>
                <c:pt idx="21">
                  <c:v>2010</c:v>
                </c:pt>
                <c:pt idx="22">
                  <c:v>2010</c:v>
                </c:pt>
                <c:pt idx="23">
                  <c:v>2010</c:v>
                </c:pt>
                <c:pt idx="24">
                  <c:v>2011</c:v>
                </c:pt>
                <c:pt idx="25">
                  <c:v>2011</c:v>
                </c:pt>
                <c:pt idx="26">
                  <c:v>2011</c:v>
                </c:pt>
                <c:pt idx="27">
                  <c:v>2011</c:v>
                </c:pt>
                <c:pt idx="28">
                  <c:v>2011</c:v>
                </c:pt>
                <c:pt idx="29">
                  <c:v>2011</c:v>
                </c:pt>
                <c:pt idx="30">
                  <c:v>2011</c:v>
                </c:pt>
                <c:pt idx="31">
                  <c:v>2011</c:v>
                </c:pt>
                <c:pt idx="32">
                  <c:v>2011</c:v>
                </c:pt>
                <c:pt idx="33">
                  <c:v>2011</c:v>
                </c:pt>
                <c:pt idx="34">
                  <c:v>2011</c:v>
                </c:pt>
                <c:pt idx="35">
                  <c:v>2011</c:v>
                </c:pt>
                <c:pt idx="36">
                  <c:v>2012</c:v>
                </c:pt>
                <c:pt idx="37">
                  <c:v>2012</c:v>
                </c:pt>
                <c:pt idx="38">
                  <c:v>2012</c:v>
                </c:pt>
                <c:pt idx="39">
                  <c:v>2012</c:v>
                </c:pt>
                <c:pt idx="40">
                  <c:v>2012</c:v>
                </c:pt>
                <c:pt idx="41">
                  <c:v>2012</c:v>
                </c:pt>
                <c:pt idx="42">
                  <c:v>2012</c:v>
                </c:pt>
                <c:pt idx="43">
                  <c:v>2012</c:v>
                </c:pt>
                <c:pt idx="44">
                  <c:v>2012</c:v>
                </c:pt>
                <c:pt idx="45">
                  <c:v>2012</c:v>
                </c:pt>
                <c:pt idx="46">
                  <c:v>2012</c:v>
                </c:pt>
                <c:pt idx="47">
                  <c:v>2012</c:v>
                </c:pt>
                <c:pt idx="48">
                  <c:v>2013</c:v>
                </c:pt>
                <c:pt idx="49">
                  <c:v>2013</c:v>
                </c:pt>
                <c:pt idx="50">
                  <c:v>2013</c:v>
                </c:pt>
                <c:pt idx="51">
                  <c:v>2013</c:v>
                </c:pt>
                <c:pt idx="52">
                  <c:v>2013</c:v>
                </c:pt>
                <c:pt idx="53">
                  <c:v>2013</c:v>
                </c:pt>
                <c:pt idx="54">
                  <c:v>2013</c:v>
                </c:pt>
                <c:pt idx="55">
                  <c:v>2013</c:v>
                </c:pt>
                <c:pt idx="56">
                  <c:v>2013</c:v>
                </c:pt>
                <c:pt idx="57">
                  <c:v>2013</c:v>
                </c:pt>
                <c:pt idx="58">
                  <c:v>2013</c:v>
                </c:pt>
                <c:pt idx="59">
                  <c:v>2013</c:v>
                </c:pt>
                <c:pt idx="60">
                  <c:v>2014</c:v>
                </c:pt>
                <c:pt idx="61">
                  <c:v>2014</c:v>
                </c:pt>
                <c:pt idx="62">
                  <c:v>2014</c:v>
                </c:pt>
                <c:pt idx="63">
                  <c:v>2014</c:v>
                </c:pt>
                <c:pt idx="64">
                  <c:v>2014</c:v>
                </c:pt>
                <c:pt idx="65">
                  <c:v>2014</c:v>
                </c:pt>
                <c:pt idx="66">
                  <c:v>2014</c:v>
                </c:pt>
                <c:pt idx="67">
                  <c:v>2014</c:v>
                </c:pt>
                <c:pt idx="68">
                  <c:v>2014</c:v>
                </c:pt>
                <c:pt idx="69">
                  <c:v>2014</c:v>
                </c:pt>
                <c:pt idx="70">
                  <c:v>2014</c:v>
                </c:pt>
                <c:pt idx="71">
                  <c:v>2014</c:v>
                </c:pt>
                <c:pt idx="72">
                  <c:v>2015</c:v>
                </c:pt>
                <c:pt idx="73">
                  <c:v>2015</c:v>
                </c:pt>
                <c:pt idx="74">
                  <c:v>2015</c:v>
                </c:pt>
                <c:pt idx="75">
                  <c:v>2015</c:v>
                </c:pt>
                <c:pt idx="76">
                  <c:v>2015</c:v>
                </c:pt>
                <c:pt idx="77">
                  <c:v>2015</c:v>
                </c:pt>
                <c:pt idx="78">
                  <c:v>2015</c:v>
                </c:pt>
                <c:pt idx="79">
                  <c:v>2015</c:v>
                </c:pt>
                <c:pt idx="80">
                  <c:v>2015</c:v>
                </c:pt>
                <c:pt idx="81">
                  <c:v>2015</c:v>
                </c:pt>
                <c:pt idx="82">
                  <c:v>2015</c:v>
                </c:pt>
                <c:pt idx="83">
                  <c:v>2015</c:v>
                </c:pt>
                <c:pt idx="84">
                  <c:v>2016</c:v>
                </c:pt>
                <c:pt idx="85">
                  <c:v>2016</c:v>
                </c:pt>
                <c:pt idx="86">
                  <c:v>2016</c:v>
                </c:pt>
                <c:pt idx="87">
                  <c:v>2016</c:v>
                </c:pt>
                <c:pt idx="88">
                  <c:v>2016</c:v>
                </c:pt>
                <c:pt idx="89">
                  <c:v>2016</c:v>
                </c:pt>
                <c:pt idx="90">
                  <c:v>2016</c:v>
                </c:pt>
                <c:pt idx="91">
                  <c:v>2016</c:v>
                </c:pt>
                <c:pt idx="92">
                  <c:v>2016</c:v>
                </c:pt>
                <c:pt idx="93">
                  <c:v>2016</c:v>
                </c:pt>
                <c:pt idx="94">
                  <c:v>2016</c:v>
                </c:pt>
                <c:pt idx="95">
                  <c:v>2016</c:v>
                </c:pt>
                <c:pt idx="96">
                  <c:v>2017</c:v>
                </c:pt>
                <c:pt idx="97">
                  <c:v>2017</c:v>
                </c:pt>
                <c:pt idx="98">
                  <c:v>2017</c:v>
                </c:pt>
                <c:pt idx="99">
                  <c:v>2017</c:v>
                </c:pt>
                <c:pt idx="100">
                  <c:v>2017</c:v>
                </c:pt>
                <c:pt idx="101">
                  <c:v>2017</c:v>
                </c:pt>
                <c:pt idx="102">
                  <c:v>2017</c:v>
                </c:pt>
                <c:pt idx="103">
                  <c:v>2017</c:v>
                </c:pt>
                <c:pt idx="104">
                  <c:v>2017</c:v>
                </c:pt>
                <c:pt idx="105">
                  <c:v>2017</c:v>
                </c:pt>
                <c:pt idx="106">
                  <c:v>2017</c:v>
                </c:pt>
                <c:pt idx="107">
                  <c:v>2017</c:v>
                </c:pt>
                <c:pt idx="108">
                  <c:v>2018</c:v>
                </c:pt>
                <c:pt idx="109">
                  <c:v>2018</c:v>
                </c:pt>
                <c:pt idx="110">
                  <c:v>2018</c:v>
                </c:pt>
                <c:pt idx="111">
                  <c:v>2018</c:v>
                </c:pt>
                <c:pt idx="112">
                  <c:v>2018</c:v>
                </c:pt>
                <c:pt idx="113">
                  <c:v>2018</c:v>
                </c:pt>
                <c:pt idx="114">
                  <c:v>2018</c:v>
                </c:pt>
                <c:pt idx="115">
                  <c:v>2018</c:v>
                </c:pt>
                <c:pt idx="116">
                  <c:v>2018</c:v>
                </c:pt>
                <c:pt idx="117">
                  <c:v>2018</c:v>
                </c:pt>
                <c:pt idx="118">
                  <c:v>2018</c:v>
                </c:pt>
                <c:pt idx="119">
                  <c:v>2018</c:v>
                </c:pt>
                <c:pt idx="120">
                  <c:v>2019</c:v>
                </c:pt>
                <c:pt idx="121">
                  <c:v>2019</c:v>
                </c:pt>
                <c:pt idx="122">
                  <c:v>2019</c:v>
                </c:pt>
                <c:pt idx="123">
                  <c:v>2019</c:v>
                </c:pt>
                <c:pt idx="124">
                  <c:v>2019</c:v>
                </c:pt>
                <c:pt idx="125">
                  <c:v>2019</c:v>
                </c:pt>
                <c:pt idx="126">
                  <c:v>2019</c:v>
                </c:pt>
                <c:pt idx="127">
                  <c:v>2019</c:v>
                </c:pt>
                <c:pt idx="128">
                  <c:v>2019</c:v>
                </c:pt>
                <c:pt idx="129">
                  <c:v>2019</c:v>
                </c:pt>
                <c:pt idx="130">
                  <c:v>2019</c:v>
                </c:pt>
                <c:pt idx="131">
                  <c:v>2019</c:v>
                </c:pt>
                <c:pt idx="132">
                  <c:v>2020</c:v>
                </c:pt>
                <c:pt idx="133">
                  <c:v>2020</c:v>
                </c:pt>
                <c:pt idx="134">
                  <c:v>2020</c:v>
                </c:pt>
                <c:pt idx="135">
                  <c:v>2020</c:v>
                </c:pt>
                <c:pt idx="136">
                  <c:v>2020</c:v>
                </c:pt>
                <c:pt idx="137">
                  <c:v>2020</c:v>
                </c:pt>
                <c:pt idx="138">
                  <c:v>2020</c:v>
                </c:pt>
                <c:pt idx="139">
                  <c:v>2020</c:v>
                </c:pt>
                <c:pt idx="140">
                  <c:v>2020</c:v>
                </c:pt>
              </c:numCache>
            </c:numRef>
          </c:cat>
          <c:val>
            <c:numRef>
              <c:f>'Labor force participation'!$D$6:$D$155</c:f>
              <c:numCache>
                <c:formatCode>0.0\ \ \ </c:formatCode>
                <c:ptCount val="142"/>
                <c:pt idx="0">
                  <c:v>65.7</c:v>
                </c:pt>
                <c:pt idx="1">
                  <c:v>65.7</c:v>
                </c:pt>
                <c:pt idx="2">
                  <c:v>65.599999999999994</c:v>
                </c:pt>
                <c:pt idx="3">
                  <c:v>65.599999999999994</c:v>
                </c:pt>
                <c:pt idx="4">
                  <c:v>65.5</c:v>
                </c:pt>
                <c:pt idx="5">
                  <c:v>65.400000000000006</c:v>
                </c:pt>
                <c:pt idx="6">
                  <c:v>65.400000000000006</c:v>
                </c:pt>
                <c:pt idx="7">
                  <c:v>65.3</c:v>
                </c:pt>
                <c:pt idx="8">
                  <c:v>65.2</c:v>
                </c:pt>
                <c:pt idx="9">
                  <c:v>65.099999999999994</c:v>
                </c:pt>
                <c:pt idx="10">
                  <c:v>65.099999999999994</c:v>
                </c:pt>
                <c:pt idx="11">
                  <c:v>65.099999999999994</c:v>
                </c:pt>
                <c:pt idx="12" formatCode="#0.0">
                  <c:v>65.099999999999994</c:v>
                </c:pt>
                <c:pt idx="13" formatCode="#0.0">
                  <c:v>65.099999999999994</c:v>
                </c:pt>
                <c:pt idx="14" formatCode="#0.0">
                  <c:v>65.099999999999994</c:v>
                </c:pt>
                <c:pt idx="15" formatCode="#0.0">
                  <c:v>64.599999999999994</c:v>
                </c:pt>
                <c:pt idx="16" formatCode="#0.0">
                  <c:v>64.599999999999994</c:v>
                </c:pt>
                <c:pt idx="17" formatCode="#0.0">
                  <c:v>64.599999999999994</c:v>
                </c:pt>
                <c:pt idx="18" formatCode="#0.0">
                  <c:v>64.599999999999994</c:v>
                </c:pt>
                <c:pt idx="19" formatCode="#0.0">
                  <c:v>64.599999999999994</c:v>
                </c:pt>
                <c:pt idx="20" formatCode="#0.0">
                  <c:v>64.7</c:v>
                </c:pt>
                <c:pt idx="21" formatCode="#0.0">
                  <c:v>64.7</c:v>
                </c:pt>
                <c:pt idx="22" formatCode="#0.0">
                  <c:v>64.7</c:v>
                </c:pt>
                <c:pt idx="23" formatCode="#0.0">
                  <c:v>64.8</c:v>
                </c:pt>
                <c:pt idx="24" formatCode="#0.0">
                  <c:v>64.8</c:v>
                </c:pt>
                <c:pt idx="25" formatCode="#0.0">
                  <c:v>64.8</c:v>
                </c:pt>
                <c:pt idx="26" formatCode="#0.0">
                  <c:v>64.8</c:v>
                </c:pt>
                <c:pt idx="27" formatCode="#0.0">
                  <c:v>64.8</c:v>
                </c:pt>
                <c:pt idx="28" formatCode="#0.0">
                  <c:v>64.8</c:v>
                </c:pt>
                <c:pt idx="29" formatCode="#0.0">
                  <c:v>64.8</c:v>
                </c:pt>
                <c:pt idx="30" formatCode="#0.0">
                  <c:v>64.8</c:v>
                </c:pt>
                <c:pt idx="31" formatCode="#0.0">
                  <c:v>64.8</c:v>
                </c:pt>
                <c:pt idx="32" formatCode="#0.0">
                  <c:v>64.8</c:v>
                </c:pt>
                <c:pt idx="33" formatCode="#0.0">
                  <c:v>64.8</c:v>
                </c:pt>
                <c:pt idx="34" formatCode="#0.0">
                  <c:v>64.8</c:v>
                </c:pt>
                <c:pt idx="35" formatCode="#0.0">
                  <c:v>64.8</c:v>
                </c:pt>
                <c:pt idx="36" formatCode="#0.0">
                  <c:v>64.900000000000006</c:v>
                </c:pt>
                <c:pt idx="37" formatCode="#0.0">
                  <c:v>64.900000000000006</c:v>
                </c:pt>
                <c:pt idx="38" formatCode="#0.0">
                  <c:v>64.900000000000006</c:v>
                </c:pt>
                <c:pt idx="39" formatCode="#0.0">
                  <c:v>64.900000000000006</c:v>
                </c:pt>
                <c:pt idx="40" formatCode="#0.0">
                  <c:v>64.900000000000006</c:v>
                </c:pt>
                <c:pt idx="41" formatCode="#0.0">
                  <c:v>64.900000000000006</c:v>
                </c:pt>
                <c:pt idx="42" formatCode="#0.0">
                  <c:v>64.900000000000006</c:v>
                </c:pt>
                <c:pt idx="43" formatCode="#0.0">
                  <c:v>64.900000000000006</c:v>
                </c:pt>
                <c:pt idx="44" formatCode="#0.0">
                  <c:v>64.900000000000006</c:v>
                </c:pt>
                <c:pt idx="45" formatCode="#0.0">
                  <c:v>65</c:v>
                </c:pt>
                <c:pt idx="46" formatCode="#0.0">
                  <c:v>65</c:v>
                </c:pt>
                <c:pt idx="47" formatCode="#0.0">
                  <c:v>65</c:v>
                </c:pt>
                <c:pt idx="48" formatCode="#0.0">
                  <c:v>65</c:v>
                </c:pt>
                <c:pt idx="49" formatCode="#0.0">
                  <c:v>65.099999999999994</c:v>
                </c:pt>
                <c:pt idx="50" formatCode="#0.0">
                  <c:v>65.099999999999994</c:v>
                </c:pt>
                <c:pt idx="51" formatCode="#0.0">
                  <c:v>65.099999999999994</c:v>
                </c:pt>
                <c:pt idx="52" formatCode="#0.0">
                  <c:v>65.099999999999994</c:v>
                </c:pt>
                <c:pt idx="53" formatCode="#0.0">
                  <c:v>65.099999999999994</c:v>
                </c:pt>
                <c:pt idx="54" formatCode="#0.0">
                  <c:v>65.099999999999994</c:v>
                </c:pt>
                <c:pt idx="55" formatCode="#0.0">
                  <c:v>65.099999999999994</c:v>
                </c:pt>
                <c:pt idx="56" formatCode="#0.0">
                  <c:v>65</c:v>
                </c:pt>
                <c:pt idx="57" formatCode="#0.0">
                  <c:v>64.900000000000006</c:v>
                </c:pt>
                <c:pt idx="58" formatCode="#0.0">
                  <c:v>64.8</c:v>
                </c:pt>
                <c:pt idx="59" formatCode="#0.0">
                  <c:v>64.7</c:v>
                </c:pt>
                <c:pt idx="60" formatCode="#0.0">
                  <c:v>64.599999999999994</c:v>
                </c:pt>
                <c:pt idx="61" formatCode="#0.0">
                  <c:v>64.5</c:v>
                </c:pt>
                <c:pt idx="62" formatCode="#0.0">
                  <c:v>64.400000000000006</c:v>
                </c:pt>
                <c:pt idx="63" formatCode="#0.0">
                  <c:v>64.3</c:v>
                </c:pt>
                <c:pt idx="64" formatCode="#0.0">
                  <c:v>64.2</c:v>
                </c:pt>
                <c:pt idx="65" formatCode="#0.0">
                  <c:v>64</c:v>
                </c:pt>
                <c:pt idx="66" formatCode="#0.0">
                  <c:v>63.9</c:v>
                </c:pt>
                <c:pt idx="67" formatCode="#0.0">
                  <c:v>63.8</c:v>
                </c:pt>
                <c:pt idx="68" formatCode="#0.0">
                  <c:v>63.7</c:v>
                </c:pt>
                <c:pt idx="69" formatCode="#0.0">
                  <c:v>63.5</c:v>
                </c:pt>
                <c:pt idx="70" formatCode="#0.0">
                  <c:v>63.4</c:v>
                </c:pt>
                <c:pt idx="71" formatCode="#0.0">
                  <c:v>63.3</c:v>
                </c:pt>
                <c:pt idx="72" formatCode="#0.0">
                  <c:v>63.2</c:v>
                </c:pt>
                <c:pt idx="73" formatCode="#0.0">
                  <c:v>63.1</c:v>
                </c:pt>
                <c:pt idx="74" formatCode="#0.0">
                  <c:v>62.9</c:v>
                </c:pt>
                <c:pt idx="75" formatCode="#0.0">
                  <c:v>62.8</c:v>
                </c:pt>
                <c:pt idx="76" formatCode="#0.0">
                  <c:v>62.7</c:v>
                </c:pt>
                <c:pt idx="77" formatCode="#0.0">
                  <c:v>62.6</c:v>
                </c:pt>
                <c:pt idx="78" formatCode="#0.0">
                  <c:v>62.5</c:v>
                </c:pt>
                <c:pt idx="79" formatCode="#0.0">
                  <c:v>62.4</c:v>
                </c:pt>
                <c:pt idx="80" formatCode="#0.0">
                  <c:v>62.4</c:v>
                </c:pt>
                <c:pt idx="81" formatCode="#0.0">
                  <c:v>62.3</c:v>
                </c:pt>
                <c:pt idx="82" formatCode="#0.0">
                  <c:v>62.4</c:v>
                </c:pt>
                <c:pt idx="83" formatCode="#0.0">
                  <c:v>62.4</c:v>
                </c:pt>
                <c:pt idx="84" formatCode="#0.0">
                  <c:v>62.6</c:v>
                </c:pt>
                <c:pt idx="85" formatCode="#0.0">
                  <c:v>62.7</c:v>
                </c:pt>
                <c:pt idx="86" formatCode="#0.0">
                  <c:v>62.8</c:v>
                </c:pt>
                <c:pt idx="87" formatCode="#0.0">
                  <c:v>62.9</c:v>
                </c:pt>
                <c:pt idx="88" formatCode="#0.0">
                  <c:v>63.1</c:v>
                </c:pt>
                <c:pt idx="89" formatCode="#0.0">
                  <c:v>63.2</c:v>
                </c:pt>
                <c:pt idx="90" formatCode="#0.0">
                  <c:v>63.3</c:v>
                </c:pt>
                <c:pt idx="91" formatCode="#0.0">
                  <c:v>63.4</c:v>
                </c:pt>
                <c:pt idx="92" formatCode="#0.0">
                  <c:v>63.5</c:v>
                </c:pt>
                <c:pt idx="93" formatCode="#0.0">
                  <c:v>63.5</c:v>
                </c:pt>
                <c:pt idx="94" formatCode="#0.0">
                  <c:v>63.5</c:v>
                </c:pt>
                <c:pt idx="95" formatCode="#0.0">
                  <c:v>63.6</c:v>
                </c:pt>
                <c:pt idx="96" formatCode="#0.0">
                  <c:v>63.6</c:v>
                </c:pt>
                <c:pt idx="97" formatCode="#0.0">
                  <c:v>63.6</c:v>
                </c:pt>
                <c:pt idx="98" formatCode="#0.0">
                  <c:v>63.6</c:v>
                </c:pt>
                <c:pt idx="99" formatCode="#0.0">
                  <c:v>63.6</c:v>
                </c:pt>
                <c:pt idx="100" formatCode="#0.0">
                  <c:v>63.6</c:v>
                </c:pt>
                <c:pt idx="101" formatCode="#0.0">
                  <c:v>63.5</c:v>
                </c:pt>
                <c:pt idx="102" formatCode="#0.0">
                  <c:v>63.5</c:v>
                </c:pt>
                <c:pt idx="103" formatCode="#0.0">
                  <c:v>63.5</c:v>
                </c:pt>
                <c:pt idx="104" formatCode="#0.0">
                  <c:v>63.4</c:v>
                </c:pt>
                <c:pt idx="105" formatCode="#0.0">
                  <c:v>63.3</c:v>
                </c:pt>
                <c:pt idx="106" formatCode="#0.0">
                  <c:v>63.3</c:v>
                </c:pt>
                <c:pt idx="107" formatCode="#0.0">
                  <c:v>63.3</c:v>
                </c:pt>
                <c:pt idx="108" formatCode="#0.0">
                  <c:v>63.2</c:v>
                </c:pt>
                <c:pt idx="109" formatCode="#0.0">
                  <c:v>63.2</c:v>
                </c:pt>
                <c:pt idx="110" formatCode="#0.0">
                  <c:v>63.2</c:v>
                </c:pt>
                <c:pt idx="111" formatCode="#0.0">
                  <c:v>63.2</c:v>
                </c:pt>
                <c:pt idx="112" formatCode="#0.0">
                  <c:v>63.1</c:v>
                </c:pt>
                <c:pt idx="113" formatCode="#0.0">
                  <c:v>63.1</c:v>
                </c:pt>
                <c:pt idx="114" formatCode="#0.0">
                  <c:v>63</c:v>
                </c:pt>
                <c:pt idx="115" formatCode="#0.0">
                  <c:v>62.9</c:v>
                </c:pt>
                <c:pt idx="116" formatCode="#0.0">
                  <c:v>62.8</c:v>
                </c:pt>
                <c:pt idx="117" formatCode="#0.0">
                  <c:v>62.8</c:v>
                </c:pt>
                <c:pt idx="118" formatCode="#0.0">
                  <c:v>62.8</c:v>
                </c:pt>
                <c:pt idx="119" formatCode="#0.0">
                  <c:v>62.7</c:v>
                </c:pt>
                <c:pt idx="120" formatCode="#0.0">
                  <c:v>62.7</c:v>
                </c:pt>
                <c:pt idx="121" formatCode="#0.0">
                  <c:v>62.6</c:v>
                </c:pt>
                <c:pt idx="122" formatCode="#0.0">
                  <c:v>62.5</c:v>
                </c:pt>
                <c:pt idx="123" formatCode="#0.0">
                  <c:v>62.4</c:v>
                </c:pt>
                <c:pt idx="124" formatCode="#0.0">
                  <c:v>62.3</c:v>
                </c:pt>
                <c:pt idx="125" formatCode="#0.0">
                  <c:v>62.3</c:v>
                </c:pt>
                <c:pt idx="126" formatCode="#0.0">
                  <c:v>62.3</c:v>
                </c:pt>
                <c:pt idx="127" formatCode="#0.0">
                  <c:v>62.3</c:v>
                </c:pt>
                <c:pt idx="128" formatCode="#0.0">
                  <c:v>62.3</c:v>
                </c:pt>
                <c:pt idx="129" formatCode="#0.0">
                  <c:v>62.4</c:v>
                </c:pt>
                <c:pt idx="130" formatCode="#0.0">
                  <c:v>62.3</c:v>
                </c:pt>
                <c:pt idx="131" formatCode="#0.0">
                  <c:v>62.3</c:v>
                </c:pt>
                <c:pt idx="132" formatCode="#0.0">
                  <c:v>62.3</c:v>
                </c:pt>
                <c:pt idx="133" formatCode="#0.0">
                  <c:v>62.4</c:v>
                </c:pt>
                <c:pt idx="134" formatCode="#0.0">
                  <c:v>62.4</c:v>
                </c:pt>
                <c:pt idx="135" formatCode="#0.0">
                  <c:v>59.1</c:v>
                </c:pt>
                <c:pt idx="136" formatCode="#0.0">
                  <c:v>59.7</c:v>
                </c:pt>
                <c:pt idx="137" formatCode="#0.0">
                  <c:v>60</c:v>
                </c:pt>
                <c:pt idx="138" formatCode="#0.0">
                  <c:v>62.5</c:v>
                </c:pt>
                <c:pt idx="139" formatCode="#0.0">
                  <c:v>60.7</c:v>
                </c:pt>
                <c:pt idx="140" formatCode="#0.0">
                  <c:v>60.9</c:v>
                </c:pt>
              </c:numCache>
            </c:numRef>
          </c:val>
          <c:smooth val="0"/>
          <c:extLst>
            <c:ext xmlns:c16="http://schemas.microsoft.com/office/drawing/2014/chart" uri="{C3380CC4-5D6E-409C-BE32-E72D297353CC}">
              <c16:uniqueId val="{00000001-6F81-457E-AB6D-F5A005DA4BCF}"/>
            </c:ext>
          </c:extLst>
        </c:ser>
        <c:dLbls>
          <c:showLegendKey val="0"/>
          <c:showVal val="0"/>
          <c:showCatName val="0"/>
          <c:showSerName val="0"/>
          <c:showPercent val="0"/>
          <c:showBubbleSize val="0"/>
        </c:dLbls>
        <c:smooth val="0"/>
        <c:axId val="452379400"/>
        <c:axId val="452362016"/>
      </c:lineChart>
      <c:catAx>
        <c:axId val="452379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n-US"/>
          </a:p>
        </c:txPr>
        <c:crossAx val="452362016"/>
        <c:crosses val="autoZero"/>
        <c:auto val="1"/>
        <c:lblAlgn val="ctr"/>
        <c:lblOffset val="100"/>
        <c:tickLblSkip val="12"/>
        <c:noMultiLvlLbl val="0"/>
      </c:catAx>
      <c:valAx>
        <c:axId val="452362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r>
                  <a:rPr lang="en-US"/>
                  <a:t>Participation Rate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n-US"/>
          </a:p>
        </c:txPr>
        <c:crossAx val="452379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Garamond" panose="02020404030301010803"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en-US"/>
              <a:t>Percent change, year-over-year in Total Nonfarm Employment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lineChart>
        <c:grouping val="standard"/>
        <c:varyColors val="0"/>
        <c:ser>
          <c:idx val="0"/>
          <c:order val="0"/>
          <c:tx>
            <c:strRef>
              <c:f>'Nonfarm employment'!$F$472</c:f>
              <c:strCache>
                <c:ptCount val="1"/>
                <c:pt idx="0">
                  <c:v>US</c:v>
                </c:pt>
              </c:strCache>
            </c:strRef>
          </c:tx>
          <c:spPr>
            <a:ln w="28575" cap="rnd">
              <a:solidFill>
                <a:schemeClr val="accent1"/>
              </a:solidFill>
              <a:round/>
            </a:ln>
            <a:effectLst/>
          </c:spPr>
          <c:marker>
            <c:symbol val="none"/>
          </c:marker>
          <c:cat>
            <c:numRef>
              <c:f>'Nonfarm employment'!$B$461:$B$626</c:f>
              <c:numCache>
                <c:formatCode>mmm\-yy</c:formatCode>
                <c:ptCount val="154"/>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42248</c:v>
                </c:pt>
                <c:pt idx="93">
                  <c:v>42278</c:v>
                </c:pt>
                <c:pt idx="94">
                  <c:v>42309</c:v>
                </c:pt>
                <c:pt idx="95">
                  <c:v>42339</c:v>
                </c:pt>
                <c:pt idx="96">
                  <c:v>42370</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pt idx="121">
                  <c:v>43132</c:v>
                </c:pt>
                <c:pt idx="122">
                  <c:v>43160</c:v>
                </c:pt>
                <c:pt idx="123">
                  <c:v>43191</c:v>
                </c:pt>
                <c:pt idx="124">
                  <c:v>43221</c:v>
                </c:pt>
                <c:pt idx="125">
                  <c:v>43252</c:v>
                </c:pt>
                <c:pt idx="126">
                  <c:v>43282</c:v>
                </c:pt>
                <c:pt idx="127">
                  <c:v>43313</c:v>
                </c:pt>
                <c:pt idx="128">
                  <c:v>43344</c:v>
                </c:pt>
                <c:pt idx="129">
                  <c:v>43374</c:v>
                </c:pt>
                <c:pt idx="130">
                  <c:v>43405</c:v>
                </c:pt>
                <c:pt idx="131">
                  <c:v>43435</c:v>
                </c:pt>
                <c:pt idx="132">
                  <c:v>43466</c:v>
                </c:pt>
                <c:pt idx="133">
                  <c:v>43497</c:v>
                </c:pt>
                <c:pt idx="134">
                  <c:v>43525</c:v>
                </c:pt>
                <c:pt idx="135">
                  <c:v>43556</c:v>
                </c:pt>
                <c:pt idx="136">
                  <c:v>43586</c:v>
                </c:pt>
                <c:pt idx="137">
                  <c:v>43617</c:v>
                </c:pt>
                <c:pt idx="138">
                  <c:v>43647</c:v>
                </c:pt>
                <c:pt idx="139">
                  <c:v>43678</c:v>
                </c:pt>
                <c:pt idx="140">
                  <c:v>43709</c:v>
                </c:pt>
                <c:pt idx="141">
                  <c:v>43739</c:v>
                </c:pt>
                <c:pt idx="142">
                  <c:v>43770</c:v>
                </c:pt>
                <c:pt idx="143">
                  <c:v>43800</c:v>
                </c:pt>
                <c:pt idx="144">
                  <c:v>43831</c:v>
                </c:pt>
                <c:pt idx="145">
                  <c:v>43862</c:v>
                </c:pt>
                <c:pt idx="146">
                  <c:v>43891</c:v>
                </c:pt>
                <c:pt idx="147">
                  <c:v>43922</c:v>
                </c:pt>
                <c:pt idx="148">
                  <c:v>43952</c:v>
                </c:pt>
                <c:pt idx="149">
                  <c:v>43983</c:v>
                </c:pt>
                <c:pt idx="150">
                  <c:v>44013</c:v>
                </c:pt>
                <c:pt idx="151">
                  <c:v>44044</c:v>
                </c:pt>
                <c:pt idx="152">
                  <c:v>44075</c:v>
                </c:pt>
              </c:numCache>
            </c:numRef>
          </c:cat>
          <c:val>
            <c:numRef>
              <c:f>'Nonfarm employment'!$F$461:$F$626</c:f>
              <c:numCache>
                <c:formatCode>0.0%</c:formatCode>
                <c:ptCount val="154"/>
                <c:pt idx="0">
                  <c:v>6.639710267188341E-3</c:v>
                </c:pt>
                <c:pt idx="1">
                  <c:v>5.3999055198226684E-3</c:v>
                </c:pt>
                <c:pt idx="2">
                  <c:v>3.6143266683601261E-3</c:v>
                </c:pt>
                <c:pt idx="3">
                  <c:v>1.3709063214013709E-3</c:v>
                </c:pt>
                <c:pt idx="4">
                  <c:v>-9.9994203234595098E-4</c:v>
                </c:pt>
                <c:pt idx="5">
                  <c:v>-2.6578217448925646E-3</c:v>
                </c:pt>
                <c:pt idx="6">
                  <c:v>-3.9551173858557468E-3</c:v>
                </c:pt>
                <c:pt idx="7">
                  <c:v>-5.8176180367893703E-3</c:v>
                </c:pt>
                <c:pt idx="8">
                  <c:v>-9.6584779570943469E-3</c:v>
                </c:pt>
                <c:pt idx="9">
                  <c:v>-1.3697440684220808E-2</c:v>
                </c:pt>
                <c:pt idx="10">
                  <c:v>-1.9997831037848388E-2</c:v>
                </c:pt>
                <c:pt idx="11">
                  <c:v>-2.5799599748578528E-2</c:v>
                </c:pt>
                <c:pt idx="12">
                  <c:v>-3.1390199322347365E-2</c:v>
                </c:pt>
                <c:pt idx="13">
                  <c:v>-3.6186731050036863E-2</c:v>
                </c:pt>
                <c:pt idx="14">
                  <c:v>-4.1610320863735964E-2</c:v>
                </c:pt>
                <c:pt idx="15">
                  <c:v>-4.5047590073449523E-2</c:v>
                </c:pt>
                <c:pt idx="16">
                  <c:v>-4.6268223688982375E-2</c:v>
                </c:pt>
                <c:pt idx="17">
                  <c:v>-4.8578233465973453E-2</c:v>
                </c:pt>
                <c:pt idx="18">
                  <c:v>-4.9584372704595536E-2</c:v>
                </c:pt>
                <c:pt idx="19">
                  <c:v>-4.9006747992362966E-2</c:v>
                </c:pt>
                <c:pt idx="20">
                  <c:v>-4.7695985612247138E-2</c:v>
                </c:pt>
                <c:pt idx="21">
                  <c:v>-4.583003198638378E-2</c:v>
                </c:pt>
                <c:pt idx="22">
                  <c:v>-4.0398675017890212E-2</c:v>
                </c:pt>
                <c:pt idx="23">
                  <c:v>-3.7362246184423249E-2</c:v>
                </c:pt>
                <c:pt idx="24">
                  <c:v>-3.1952503841162341E-2</c:v>
                </c:pt>
                <c:pt idx="25">
                  <c:v>-2.7255272552725526E-2</c:v>
                </c:pt>
                <c:pt idx="26">
                  <c:v>-1.9995623599363157E-2</c:v>
                </c:pt>
                <c:pt idx="27">
                  <c:v>-1.3084537490044373E-2</c:v>
                </c:pt>
                <c:pt idx="28">
                  <c:v>-6.3958750028519059E-3</c:v>
                </c:pt>
                <c:pt idx="29">
                  <c:v>-3.9305176071924653E-3</c:v>
                </c:pt>
                <c:pt idx="30">
                  <c:v>-1.9742128017752611E-3</c:v>
                </c:pt>
                <c:pt idx="31">
                  <c:v>-6.0535934590539534E-4</c:v>
                </c:pt>
                <c:pt idx="32">
                  <c:v>7.5234724663938773E-4</c:v>
                </c:pt>
                <c:pt idx="33">
                  <c:v>4.3364267536002334E-3</c:v>
                </c:pt>
                <c:pt idx="34">
                  <c:v>5.2047696293619737E-3</c:v>
                </c:pt>
                <c:pt idx="35">
                  <c:v>7.842593448584019E-3</c:v>
                </c:pt>
                <c:pt idx="36">
                  <c:v>8.0976962786038983E-3</c:v>
                </c:pt>
                <c:pt idx="37">
                  <c:v>1.0447346913599284E-2</c:v>
                </c:pt>
                <c:pt idx="38">
                  <c:v>1.0848559043417335E-2</c:v>
                </c:pt>
                <c:pt idx="39">
                  <c:v>1.1467220044577665E-2</c:v>
                </c:pt>
                <c:pt idx="40">
                  <c:v>8.0597014925373137E-3</c:v>
                </c:pt>
                <c:pt idx="41">
                  <c:v>1.0941606454628345E-2</c:v>
                </c:pt>
                <c:pt idx="42">
                  <c:v>1.2052719145575687E-2</c:v>
                </c:pt>
                <c:pt idx="43">
                  <c:v>1.3057612979405315E-2</c:v>
                </c:pt>
                <c:pt idx="44">
                  <c:v>1.5350153808387735E-2</c:v>
                </c:pt>
                <c:pt idx="45">
                  <c:v>1.4828708133971292E-2</c:v>
                </c:pt>
                <c:pt idx="46">
                  <c:v>1.4868068833652008E-2</c:v>
                </c:pt>
                <c:pt idx="47">
                  <c:v>1.5853602605066425E-2</c:v>
                </c:pt>
                <c:pt idx="48">
                  <c:v>1.8411659953684243E-2</c:v>
                </c:pt>
                <c:pt idx="49">
                  <c:v>1.8763401066743988E-2</c:v>
                </c:pt>
                <c:pt idx="50">
                  <c:v>1.8767899579550301E-2</c:v>
                </c:pt>
                <c:pt idx="51">
                  <c:v>1.6960228567954896E-2</c:v>
                </c:pt>
                <c:pt idx="52">
                  <c:v>1.6939629317479481E-2</c:v>
                </c:pt>
                <c:pt idx="53">
                  <c:v>1.5673909912914303E-2</c:v>
                </c:pt>
                <c:pt idx="54">
                  <c:v>1.6363760331517662E-2</c:v>
                </c:pt>
                <c:pt idx="55">
                  <c:v>1.6696310312204352E-2</c:v>
                </c:pt>
                <c:pt idx="56">
                  <c:v>1.6319376237174936E-2</c:v>
                </c:pt>
                <c:pt idx="57">
                  <c:v>1.5954798509376745E-2</c:v>
                </c:pt>
                <c:pt idx="58">
                  <c:v>1.6119794414216168E-2</c:v>
                </c:pt>
                <c:pt idx="59">
                  <c:v>1.6373705754875994E-2</c:v>
                </c:pt>
                <c:pt idx="60">
                  <c:v>1.5106941838649156E-2</c:v>
                </c:pt>
                <c:pt idx="61">
                  <c:v>1.519713583797711E-2</c:v>
                </c:pt>
                <c:pt idx="62">
                  <c:v>1.4414737723548059E-2</c:v>
                </c:pt>
                <c:pt idx="63">
                  <c:v>1.5220347594781596E-2</c:v>
                </c:pt>
                <c:pt idx="64">
                  <c:v>1.6119879940866395E-2</c:v>
                </c:pt>
                <c:pt idx="65">
                  <c:v>1.6917026722484647E-2</c:v>
                </c:pt>
                <c:pt idx="66">
                  <c:v>1.6599706318621933E-2</c:v>
                </c:pt>
                <c:pt idx="67">
                  <c:v>1.7099552597687803E-2</c:v>
                </c:pt>
                <c:pt idx="68">
                  <c:v>1.7075781679775196E-2</c:v>
                </c:pt>
                <c:pt idx="69">
                  <c:v>1.7545683375780573E-2</c:v>
                </c:pt>
                <c:pt idx="70">
                  <c:v>1.8326374107228944E-2</c:v>
                </c:pt>
                <c:pt idx="71">
                  <c:v>1.7035358919687278E-2</c:v>
                </c:pt>
                <c:pt idx="72">
                  <c:v>1.6893015828423147E-2</c:v>
                </c:pt>
                <c:pt idx="73">
                  <c:v>1.6032049343003223E-2</c:v>
                </c:pt>
                <c:pt idx="74">
                  <c:v>1.6863207547169811E-2</c:v>
                </c:pt>
                <c:pt idx="75">
                  <c:v>1.7825731760272613E-2</c:v>
                </c:pt>
                <c:pt idx="76">
                  <c:v>1.7767262092833577E-2</c:v>
                </c:pt>
                <c:pt idx="77">
                  <c:v>1.8807696259007588E-2</c:v>
                </c:pt>
                <c:pt idx="78">
                  <c:v>1.9672107107767661E-2</c:v>
                </c:pt>
                <c:pt idx="79">
                  <c:v>1.9242029452235267E-2</c:v>
                </c:pt>
                <c:pt idx="80">
                  <c:v>2.0107444359171143E-2</c:v>
                </c:pt>
                <c:pt idx="81">
                  <c:v>2.0271453590192643E-2</c:v>
                </c:pt>
                <c:pt idx="82">
                  <c:v>2.0429120783079881E-2</c:v>
                </c:pt>
                <c:pt idx="83">
                  <c:v>2.1867470318039206E-2</c:v>
                </c:pt>
                <c:pt idx="84">
                  <c:v>2.1955971733503939E-2</c:v>
                </c:pt>
                <c:pt idx="85">
                  <c:v>2.2691955792439402E-2</c:v>
                </c:pt>
                <c:pt idx="86">
                  <c:v>2.1323785225559552E-2</c:v>
                </c:pt>
                <c:pt idx="87">
                  <c:v>2.0977200581374329E-2</c:v>
                </c:pt>
                <c:pt idx="88">
                  <c:v>2.1760004620571653E-2</c:v>
                </c:pt>
                <c:pt idx="89">
                  <c:v>2.0614101428293612E-2</c:v>
                </c:pt>
                <c:pt idx="90">
                  <c:v>2.1083059488455371E-2</c:v>
                </c:pt>
                <c:pt idx="91">
                  <c:v>2.0602195939880941E-2</c:v>
                </c:pt>
                <c:pt idx="92">
                  <c:v>1.9453161944886291E-2</c:v>
                </c:pt>
                <c:pt idx="93">
                  <c:v>1.980431704072437E-2</c:v>
                </c:pt>
                <c:pt idx="94">
                  <c:v>1.9377770164657516E-2</c:v>
                </c:pt>
                <c:pt idx="95">
                  <c:v>1.9376393568747017E-2</c:v>
                </c:pt>
                <c:pt idx="96">
                  <c:v>1.8510614080018212E-2</c:v>
                </c:pt>
                <c:pt idx="97">
                  <c:v>1.8418193824153821E-2</c:v>
                </c:pt>
                <c:pt idx="98">
                  <c:v>1.9530196579376907E-2</c:v>
                </c:pt>
                <c:pt idx="99">
                  <c:v>1.880391518053175E-2</c:v>
                </c:pt>
                <c:pt idx="100">
                  <c:v>1.671789436495319E-2</c:v>
                </c:pt>
                <c:pt idx="101">
                  <c:v>1.7353686335118808E-2</c:v>
                </c:pt>
                <c:pt idx="102">
                  <c:v>1.7682974063562933E-2</c:v>
                </c:pt>
                <c:pt idx="103">
                  <c:v>1.7737781968112803E-2</c:v>
                </c:pt>
                <c:pt idx="104">
                  <c:v>1.851968990940463E-2</c:v>
                </c:pt>
                <c:pt idx="105">
                  <c:v>1.735081038243318E-2</c:v>
                </c:pt>
                <c:pt idx="106">
                  <c:v>1.6719879011930769E-2</c:v>
                </c:pt>
                <c:pt idx="107">
                  <c:v>1.6387485411993263E-2</c:v>
                </c:pt>
                <c:pt idx="108">
                  <c:v>1.7161416497869664E-2</c:v>
                </c:pt>
                <c:pt idx="109">
                  <c:v>1.6607056953420761E-2</c:v>
                </c:pt>
                <c:pt idx="110">
                  <c:v>1.5884506689312412E-2</c:v>
                </c:pt>
                <c:pt idx="111">
                  <c:v>1.5933374580289053E-2</c:v>
                </c:pt>
                <c:pt idx="112">
                  <c:v>1.6714040488981244E-2</c:v>
                </c:pt>
                <c:pt idx="113">
                  <c:v>1.6329305345523661E-2</c:v>
                </c:pt>
                <c:pt idx="114">
                  <c:v>1.5327446855624446E-2</c:v>
                </c:pt>
                <c:pt idx="115">
                  <c:v>1.5651897377754118E-2</c:v>
                </c:pt>
                <c:pt idx="116">
                  <c:v>1.3890805708134368E-2</c:v>
                </c:pt>
                <c:pt idx="117">
                  <c:v>1.4717946243304541E-2</c:v>
                </c:pt>
                <c:pt idx="118">
                  <c:v>1.5212241412555436E-2</c:v>
                </c:pt>
                <c:pt idx="119">
                  <c:v>1.4500625678964811E-2</c:v>
                </c:pt>
                <c:pt idx="120">
                  <c:v>1.4042725593468244E-2</c:v>
                </c:pt>
                <c:pt idx="121">
                  <c:v>1.551966532935569E-2</c:v>
                </c:pt>
                <c:pt idx="122">
                  <c:v>1.5827988817628681E-2</c:v>
                </c:pt>
                <c:pt idx="123">
                  <c:v>1.5396090077391013E-2</c:v>
                </c:pt>
                <c:pt idx="124">
                  <c:v>1.6220539180838846E-2</c:v>
                </c:pt>
                <c:pt idx="125">
                  <c:v>1.6217101670852899E-2</c:v>
                </c:pt>
                <c:pt idx="126">
                  <c:v>1.5654923769994614E-2</c:v>
                </c:pt>
                <c:pt idx="127">
                  <c:v>1.6043727154535739E-2</c:v>
                </c:pt>
                <c:pt idx="128">
                  <c:v>1.6463734184538111E-2</c:v>
                </c:pt>
                <c:pt idx="129">
                  <c:v>1.5985488736106959E-2</c:v>
                </c:pt>
                <c:pt idx="130">
                  <c:v>1.534381126162487E-2</c:v>
                </c:pt>
                <c:pt idx="131">
                  <c:v>1.568271309581094E-2</c:v>
                </c:pt>
                <c:pt idx="132">
                  <c:v>1.6672084078227421E-2</c:v>
                </c:pt>
                <c:pt idx="133">
                  <c:v>1.389132754359189E-2</c:v>
                </c:pt>
                <c:pt idx="134">
                  <c:v>1.3679226192885183E-2</c:v>
                </c:pt>
                <c:pt idx="135">
                  <c:v>1.4158540612301285E-2</c:v>
                </c:pt>
                <c:pt idx="136">
                  <c:v>1.2833879288890085E-2</c:v>
                </c:pt>
                <c:pt idx="137">
                  <c:v>1.2566492934286175E-2</c:v>
                </c:pt>
                <c:pt idx="138">
                  <c:v>1.2944223749194761E-2</c:v>
                </c:pt>
                <c:pt idx="139">
                  <c:v>1.2675188252003108E-2</c:v>
                </c:pt>
                <c:pt idx="140">
                  <c:v>1.3525457321155957E-2</c:v>
                </c:pt>
                <c:pt idx="141">
                  <c:v>1.3400290205885696E-2</c:v>
                </c:pt>
                <c:pt idx="142">
                  <c:v>1.4236753672761769E-2</c:v>
                </c:pt>
                <c:pt idx="143">
                  <c:v>1.4232809528575719E-2</c:v>
                </c:pt>
                <c:pt idx="144">
                  <c:v>1.3840968734597094E-2</c:v>
                </c:pt>
                <c:pt idx="145">
                  <c:v>1.5506044559896093E-2</c:v>
                </c:pt>
                <c:pt idx="146">
                  <c:v>5.3765587362425305E-3</c:v>
                </c:pt>
                <c:pt idx="147">
                  <c:v>-0.13415331047497542</c:v>
                </c:pt>
                <c:pt idx="148">
                  <c:v>-0.11654502347636093</c:v>
                </c:pt>
                <c:pt idx="149">
                  <c:v>-8.5898685982263079E-2</c:v>
                </c:pt>
                <c:pt idx="150">
                  <c:v>-7.5407577192901101E-2</c:v>
                </c:pt>
                <c:pt idx="151">
                  <c:v>-6.6823233659698333E-2</c:v>
                </c:pt>
                <c:pt idx="152">
                  <c:v>-6.3738703028381166E-2</c:v>
                </c:pt>
              </c:numCache>
            </c:numRef>
          </c:val>
          <c:smooth val="0"/>
          <c:extLst>
            <c:ext xmlns:c16="http://schemas.microsoft.com/office/drawing/2014/chart" uri="{C3380CC4-5D6E-409C-BE32-E72D297353CC}">
              <c16:uniqueId val="{00000000-3FF9-4927-81E4-7CD0D05E8592}"/>
            </c:ext>
          </c:extLst>
        </c:ser>
        <c:ser>
          <c:idx val="1"/>
          <c:order val="1"/>
          <c:tx>
            <c:strRef>
              <c:f>'Nonfarm employment'!$G$472</c:f>
              <c:strCache>
                <c:ptCount val="1"/>
                <c:pt idx="0">
                  <c:v>NE</c:v>
                </c:pt>
              </c:strCache>
            </c:strRef>
          </c:tx>
          <c:spPr>
            <a:ln w="28575" cap="rnd">
              <a:solidFill>
                <a:schemeClr val="accent2"/>
              </a:solidFill>
              <a:round/>
            </a:ln>
            <a:effectLst/>
          </c:spPr>
          <c:marker>
            <c:symbol val="none"/>
          </c:marker>
          <c:cat>
            <c:numRef>
              <c:f>'Nonfarm employment'!$B$461:$B$626</c:f>
              <c:numCache>
                <c:formatCode>mmm\-yy</c:formatCode>
                <c:ptCount val="154"/>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42248</c:v>
                </c:pt>
                <c:pt idx="93">
                  <c:v>42278</c:v>
                </c:pt>
                <c:pt idx="94">
                  <c:v>42309</c:v>
                </c:pt>
                <c:pt idx="95">
                  <c:v>42339</c:v>
                </c:pt>
                <c:pt idx="96">
                  <c:v>42370</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pt idx="121">
                  <c:v>43132</c:v>
                </c:pt>
                <c:pt idx="122">
                  <c:v>43160</c:v>
                </c:pt>
                <c:pt idx="123">
                  <c:v>43191</c:v>
                </c:pt>
                <c:pt idx="124">
                  <c:v>43221</c:v>
                </c:pt>
                <c:pt idx="125">
                  <c:v>43252</c:v>
                </c:pt>
                <c:pt idx="126">
                  <c:v>43282</c:v>
                </c:pt>
                <c:pt idx="127">
                  <c:v>43313</c:v>
                </c:pt>
                <c:pt idx="128">
                  <c:v>43344</c:v>
                </c:pt>
                <c:pt idx="129">
                  <c:v>43374</c:v>
                </c:pt>
                <c:pt idx="130">
                  <c:v>43405</c:v>
                </c:pt>
                <c:pt idx="131">
                  <c:v>43435</c:v>
                </c:pt>
                <c:pt idx="132">
                  <c:v>43466</c:v>
                </c:pt>
                <c:pt idx="133">
                  <c:v>43497</c:v>
                </c:pt>
                <c:pt idx="134">
                  <c:v>43525</c:v>
                </c:pt>
                <c:pt idx="135">
                  <c:v>43556</c:v>
                </c:pt>
                <c:pt idx="136">
                  <c:v>43586</c:v>
                </c:pt>
                <c:pt idx="137">
                  <c:v>43617</c:v>
                </c:pt>
                <c:pt idx="138">
                  <c:v>43647</c:v>
                </c:pt>
                <c:pt idx="139">
                  <c:v>43678</c:v>
                </c:pt>
                <c:pt idx="140">
                  <c:v>43709</c:v>
                </c:pt>
                <c:pt idx="141">
                  <c:v>43739</c:v>
                </c:pt>
                <c:pt idx="142">
                  <c:v>43770</c:v>
                </c:pt>
                <c:pt idx="143">
                  <c:v>43800</c:v>
                </c:pt>
                <c:pt idx="144">
                  <c:v>43831</c:v>
                </c:pt>
                <c:pt idx="145">
                  <c:v>43862</c:v>
                </c:pt>
                <c:pt idx="146">
                  <c:v>43891</c:v>
                </c:pt>
                <c:pt idx="147">
                  <c:v>43922</c:v>
                </c:pt>
                <c:pt idx="148">
                  <c:v>43952</c:v>
                </c:pt>
                <c:pt idx="149">
                  <c:v>43983</c:v>
                </c:pt>
                <c:pt idx="150">
                  <c:v>44013</c:v>
                </c:pt>
                <c:pt idx="151">
                  <c:v>44044</c:v>
                </c:pt>
                <c:pt idx="152">
                  <c:v>44075</c:v>
                </c:pt>
              </c:numCache>
            </c:numRef>
          </c:cat>
          <c:val>
            <c:numRef>
              <c:f>'Nonfarm employment'!$G$461:$G$626</c:f>
              <c:numCache>
                <c:formatCode>0.0%</c:formatCode>
                <c:ptCount val="154"/>
                <c:pt idx="0">
                  <c:v>7.741715938576638E-3</c:v>
                </c:pt>
                <c:pt idx="1">
                  <c:v>8.0105484035615047E-3</c:v>
                </c:pt>
                <c:pt idx="2">
                  <c:v>7.9690313798335029E-3</c:v>
                </c:pt>
                <c:pt idx="3">
                  <c:v>7.7424844015882531E-3</c:v>
                </c:pt>
                <c:pt idx="4">
                  <c:v>4.8124557678699094E-3</c:v>
                </c:pt>
                <c:pt idx="5">
                  <c:v>1.7934813308479816E-3</c:v>
                </c:pt>
                <c:pt idx="6">
                  <c:v>-2.2602062438189776E-4</c:v>
                </c:pt>
                <c:pt idx="7">
                  <c:v>-9.4687601577181965E-4</c:v>
                </c:pt>
                <c:pt idx="8">
                  <c:v>-2.0645088307243392E-3</c:v>
                </c:pt>
                <c:pt idx="9">
                  <c:v>-5.8483662715959469E-3</c:v>
                </c:pt>
                <c:pt idx="10">
                  <c:v>-1.0695036261534452E-2</c:v>
                </c:pt>
                <c:pt idx="11">
                  <c:v>-1.5583573080611497E-2</c:v>
                </c:pt>
                <c:pt idx="12">
                  <c:v>-2.4031629451409142E-2</c:v>
                </c:pt>
                <c:pt idx="13">
                  <c:v>-2.7961798669423488E-2</c:v>
                </c:pt>
                <c:pt idx="14">
                  <c:v>-3.307308152212133E-2</c:v>
                </c:pt>
                <c:pt idx="15">
                  <c:v>-3.8133565980919271E-2</c:v>
                </c:pt>
                <c:pt idx="16">
                  <c:v>-3.7131990421186256E-2</c:v>
                </c:pt>
                <c:pt idx="17">
                  <c:v>-4.0062588984902621E-2</c:v>
                </c:pt>
                <c:pt idx="18">
                  <c:v>-4.2204764461525518E-2</c:v>
                </c:pt>
                <c:pt idx="19">
                  <c:v>-4.1447405647032198E-2</c:v>
                </c:pt>
                <c:pt idx="20">
                  <c:v>-3.9179289529990093E-2</c:v>
                </c:pt>
                <c:pt idx="21">
                  <c:v>-3.7655417406749429E-2</c:v>
                </c:pt>
                <c:pt idx="22">
                  <c:v>-3.4143419476296628E-2</c:v>
                </c:pt>
                <c:pt idx="23">
                  <c:v>-2.9010214460696532E-2</c:v>
                </c:pt>
                <c:pt idx="24">
                  <c:v>-2.2547394218986341E-2</c:v>
                </c:pt>
                <c:pt idx="25">
                  <c:v>-2.0011865314213804E-2</c:v>
                </c:pt>
                <c:pt idx="26">
                  <c:v>-1.3646812349055938E-2</c:v>
                </c:pt>
                <c:pt idx="27">
                  <c:v>-5.4128386681491026E-3</c:v>
                </c:pt>
                <c:pt idx="28">
                  <c:v>-1.1703777394153963E-3</c:v>
                </c:pt>
                <c:pt idx="29">
                  <c:v>-1.4097537336445738E-3</c:v>
                </c:pt>
                <c:pt idx="30">
                  <c:v>5.0304630681399631E-3</c:v>
                </c:pt>
                <c:pt idx="31">
                  <c:v>5.489802544198787E-3</c:v>
                </c:pt>
                <c:pt idx="32">
                  <c:v>4.55698442661614E-3</c:v>
                </c:pt>
                <c:pt idx="33">
                  <c:v>9.1842008121077612E-3</c:v>
                </c:pt>
                <c:pt idx="34">
                  <c:v>8.9926464073713935E-3</c:v>
                </c:pt>
                <c:pt idx="35">
                  <c:v>8.9114461919795104E-3</c:v>
                </c:pt>
                <c:pt idx="36">
                  <c:v>8.5839441896136959E-3</c:v>
                </c:pt>
                <c:pt idx="37">
                  <c:v>1.095591058086995E-2</c:v>
                </c:pt>
                <c:pt idx="38">
                  <c:v>1.0236592129329111E-2</c:v>
                </c:pt>
                <c:pt idx="39">
                  <c:v>1.0296237460653664E-2</c:v>
                </c:pt>
                <c:pt idx="40">
                  <c:v>5.1264024372383206E-3</c:v>
                </c:pt>
                <c:pt idx="41">
                  <c:v>7.8675313598329435E-3</c:v>
                </c:pt>
                <c:pt idx="42">
                  <c:v>1.061237670267734E-2</c:v>
                </c:pt>
                <c:pt idx="43">
                  <c:v>9.3932544691343531E-3</c:v>
                </c:pt>
                <c:pt idx="44">
                  <c:v>1.2243639620065557E-2</c:v>
                </c:pt>
                <c:pt idx="45">
                  <c:v>8.3836891158353966E-3</c:v>
                </c:pt>
                <c:pt idx="46">
                  <c:v>9.3076348948502551E-3</c:v>
                </c:pt>
                <c:pt idx="47">
                  <c:v>9.6955339124332584E-3</c:v>
                </c:pt>
                <c:pt idx="48">
                  <c:v>1.2590848602722951E-2</c:v>
                </c:pt>
                <c:pt idx="49">
                  <c:v>1.2954957060232626E-2</c:v>
                </c:pt>
                <c:pt idx="50">
                  <c:v>1.521389983939272E-2</c:v>
                </c:pt>
                <c:pt idx="51">
                  <c:v>9.5652680313310905E-3</c:v>
                </c:pt>
                <c:pt idx="52">
                  <c:v>1.1643156913033288E-2</c:v>
                </c:pt>
                <c:pt idx="53">
                  <c:v>1.5072370724874544E-2</c:v>
                </c:pt>
                <c:pt idx="54">
                  <c:v>9.9054479963978596E-3</c:v>
                </c:pt>
                <c:pt idx="55">
                  <c:v>1.2242998807688926E-2</c:v>
                </c:pt>
                <c:pt idx="56">
                  <c:v>1.1863497266174555E-2</c:v>
                </c:pt>
                <c:pt idx="57">
                  <c:v>1.1796285548462144E-2</c:v>
                </c:pt>
                <c:pt idx="58">
                  <c:v>1.2252236576913595E-2</c:v>
                </c:pt>
                <c:pt idx="59">
                  <c:v>1.1774929393873586E-2</c:v>
                </c:pt>
                <c:pt idx="60">
                  <c:v>1.05135463000402E-2</c:v>
                </c:pt>
                <c:pt idx="61">
                  <c:v>9.6748612212528944E-3</c:v>
                </c:pt>
                <c:pt idx="62">
                  <c:v>9.362595639417744E-3</c:v>
                </c:pt>
                <c:pt idx="63">
                  <c:v>1.3440433785674086E-2</c:v>
                </c:pt>
                <c:pt idx="64">
                  <c:v>1.3136856661336994E-2</c:v>
                </c:pt>
                <c:pt idx="65">
                  <c:v>1.3238655148126241E-2</c:v>
                </c:pt>
                <c:pt idx="66">
                  <c:v>1.3187982684480857E-2</c:v>
                </c:pt>
                <c:pt idx="67">
                  <c:v>1.3258446334176079E-2</c:v>
                </c:pt>
                <c:pt idx="68">
                  <c:v>1.1007754160156985E-2</c:v>
                </c:pt>
                <c:pt idx="69">
                  <c:v>1.3164498874277364E-2</c:v>
                </c:pt>
                <c:pt idx="70">
                  <c:v>1.2619606944364656E-2</c:v>
                </c:pt>
                <c:pt idx="71">
                  <c:v>1.2296372641644427E-2</c:v>
                </c:pt>
                <c:pt idx="72">
                  <c:v>1.2247756245355391E-2</c:v>
                </c:pt>
                <c:pt idx="73">
                  <c:v>1.300945363150835E-2</c:v>
                </c:pt>
                <c:pt idx="74">
                  <c:v>1.17692318652667E-2</c:v>
                </c:pt>
                <c:pt idx="75">
                  <c:v>1.3062966915688264E-2</c:v>
                </c:pt>
                <c:pt idx="76">
                  <c:v>1.3108694106774696E-2</c:v>
                </c:pt>
                <c:pt idx="77">
                  <c:v>1.2044261597389779E-2</c:v>
                </c:pt>
                <c:pt idx="78">
                  <c:v>1.3910574875798568E-2</c:v>
                </c:pt>
                <c:pt idx="79">
                  <c:v>1.1695657721260581E-2</c:v>
                </c:pt>
                <c:pt idx="80">
                  <c:v>1.5849837673844829E-2</c:v>
                </c:pt>
                <c:pt idx="81">
                  <c:v>1.5569489462286579E-2</c:v>
                </c:pt>
                <c:pt idx="82">
                  <c:v>1.7186991639908028E-2</c:v>
                </c:pt>
                <c:pt idx="83">
                  <c:v>1.8043751855989418E-2</c:v>
                </c:pt>
                <c:pt idx="84">
                  <c:v>1.6659842719789916E-2</c:v>
                </c:pt>
                <c:pt idx="85">
                  <c:v>1.3166612628106707E-2</c:v>
                </c:pt>
                <c:pt idx="86">
                  <c:v>1.4364376346660282E-2</c:v>
                </c:pt>
                <c:pt idx="87">
                  <c:v>1.3245684266711641E-2</c:v>
                </c:pt>
                <c:pt idx="88">
                  <c:v>1.735969799458309E-2</c:v>
                </c:pt>
                <c:pt idx="89">
                  <c:v>1.6526724512538671E-2</c:v>
                </c:pt>
                <c:pt idx="90">
                  <c:v>1.5133697326053528E-2</c:v>
                </c:pt>
                <c:pt idx="91">
                  <c:v>1.6366795583207246E-2</c:v>
                </c:pt>
                <c:pt idx="92">
                  <c:v>1.2881166701555967E-2</c:v>
                </c:pt>
                <c:pt idx="93">
                  <c:v>1.4327326448411767E-2</c:v>
                </c:pt>
                <c:pt idx="94">
                  <c:v>1.3378205484785835E-2</c:v>
                </c:pt>
                <c:pt idx="95">
                  <c:v>1.257066659258539E-2</c:v>
                </c:pt>
                <c:pt idx="96">
                  <c:v>1.3206682498021005E-2</c:v>
                </c:pt>
                <c:pt idx="97">
                  <c:v>1.7907083524648176E-2</c:v>
                </c:pt>
                <c:pt idx="98">
                  <c:v>1.7145871801635324E-2</c:v>
                </c:pt>
                <c:pt idx="99">
                  <c:v>1.5332150382610677E-2</c:v>
                </c:pt>
                <c:pt idx="100">
                  <c:v>1.0787099622037661E-2</c:v>
                </c:pt>
                <c:pt idx="101">
                  <c:v>9.1701370694171232E-3</c:v>
                </c:pt>
                <c:pt idx="102">
                  <c:v>1.4770172801367864E-2</c:v>
                </c:pt>
                <c:pt idx="103">
                  <c:v>1.4503943087189077E-2</c:v>
                </c:pt>
                <c:pt idx="104">
                  <c:v>1.4425859075753212E-2</c:v>
                </c:pt>
                <c:pt idx="105">
                  <c:v>1.1019662265213967E-2</c:v>
                </c:pt>
                <c:pt idx="106">
                  <c:v>1.0786331823795977E-2</c:v>
                </c:pt>
                <c:pt idx="107">
                  <c:v>1.1125133748525261E-2</c:v>
                </c:pt>
                <c:pt idx="108">
                  <c:v>1.2061403508772181E-2</c:v>
                </c:pt>
                <c:pt idx="109">
                  <c:v>8.5294841302388617E-3</c:v>
                </c:pt>
                <c:pt idx="110">
                  <c:v>8.4079493339158755E-3</c:v>
                </c:pt>
                <c:pt idx="111">
                  <c:v>9.8440785341744313E-3</c:v>
                </c:pt>
                <c:pt idx="112">
                  <c:v>9.4437469294175198E-3</c:v>
                </c:pt>
                <c:pt idx="113">
                  <c:v>1.3322766216197877E-2</c:v>
                </c:pt>
                <c:pt idx="114">
                  <c:v>7.8959528145472087E-3</c:v>
                </c:pt>
                <c:pt idx="115">
                  <c:v>8.8198521417700241E-3</c:v>
                </c:pt>
                <c:pt idx="116">
                  <c:v>7.646859083191875E-3</c:v>
                </c:pt>
                <c:pt idx="117">
                  <c:v>8.6163547654964784E-3</c:v>
                </c:pt>
                <c:pt idx="118">
                  <c:v>8.6075811882263004E-3</c:v>
                </c:pt>
                <c:pt idx="119">
                  <c:v>8.5471245031135956E-3</c:v>
                </c:pt>
                <c:pt idx="120">
                  <c:v>6.5817984832068589E-3</c:v>
                </c:pt>
                <c:pt idx="121">
                  <c:v>1.0612344474261915E-2</c:v>
                </c:pt>
                <c:pt idx="122">
                  <c:v>8.6220898754735924E-3</c:v>
                </c:pt>
                <c:pt idx="123">
                  <c:v>7.638954612441233E-3</c:v>
                </c:pt>
                <c:pt idx="124">
                  <c:v>8.7470257408610117E-3</c:v>
                </c:pt>
                <c:pt idx="125">
                  <c:v>7.5918983791364624E-3</c:v>
                </c:pt>
                <c:pt idx="126">
                  <c:v>7.267775036069026E-3</c:v>
                </c:pt>
                <c:pt idx="127">
                  <c:v>6.7624910753977096E-3</c:v>
                </c:pt>
                <c:pt idx="128">
                  <c:v>8.3301881705936508E-3</c:v>
                </c:pt>
                <c:pt idx="129">
                  <c:v>9.1490938489524418E-3</c:v>
                </c:pt>
                <c:pt idx="130">
                  <c:v>8.6956521739130922E-3</c:v>
                </c:pt>
                <c:pt idx="131">
                  <c:v>8.3805270450236207E-3</c:v>
                </c:pt>
                <c:pt idx="132">
                  <c:v>9.6197831176169837E-3</c:v>
                </c:pt>
                <c:pt idx="133">
                  <c:v>7.9393817474685043E-3</c:v>
                </c:pt>
                <c:pt idx="134">
                  <c:v>8.588644201994176E-3</c:v>
                </c:pt>
                <c:pt idx="135">
                  <c:v>7.782310004293933E-3</c:v>
                </c:pt>
                <c:pt idx="136">
                  <c:v>6.2185887556120926E-3</c:v>
                </c:pt>
                <c:pt idx="137">
                  <c:v>5.2863318210409384E-3</c:v>
                </c:pt>
                <c:pt idx="138">
                  <c:v>6.9074455837864149E-3</c:v>
                </c:pt>
                <c:pt idx="139">
                  <c:v>6.9579179768514202E-3</c:v>
                </c:pt>
                <c:pt idx="140">
                  <c:v>5.7482020158810786E-3</c:v>
                </c:pt>
                <c:pt idx="141">
                  <c:v>4.9403156461130518E-3</c:v>
                </c:pt>
                <c:pt idx="142">
                  <c:v>5.1510622397777494E-3</c:v>
                </c:pt>
                <c:pt idx="143">
                  <c:v>5.3627171100023765E-3</c:v>
                </c:pt>
                <c:pt idx="144">
                  <c:v>7.0494796178087607E-3</c:v>
                </c:pt>
                <c:pt idx="145">
                  <c:v>6.1737429647272446E-3</c:v>
                </c:pt>
                <c:pt idx="146">
                  <c:v>-6.8124060300437514E-3</c:v>
                </c:pt>
                <c:pt idx="147">
                  <c:v>-0.17569366778505621</c:v>
                </c:pt>
                <c:pt idx="148">
                  <c:v>-0.15675488485461986</c:v>
                </c:pt>
                <c:pt idx="149">
                  <c:v>-0.12402151339261958</c:v>
                </c:pt>
                <c:pt idx="150">
                  <c:v>-0.10625116328538389</c:v>
                </c:pt>
                <c:pt idx="151">
                  <c:v>-9.1914158527672568E-2</c:v>
                </c:pt>
                <c:pt idx="152">
                  <c:v>-8.2939018554947092E-2</c:v>
                </c:pt>
              </c:numCache>
            </c:numRef>
          </c:val>
          <c:smooth val="0"/>
          <c:extLst>
            <c:ext xmlns:c16="http://schemas.microsoft.com/office/drawing/2014/chart" uri="{C3380CC4-5D6E-409C-BE32-E72D297353CC}">
              <c16:uniqueId val="{00000001-3FF9-4927-81E4-7CD0D05E8592}"/>
            </c:ext>
          </c:extLst>
        </c:ser>
        <c:ser>
          <c:idx val="2"/>
          <c:order val="2"/>
          <c:tx>
            <c:strRef>
              <c:f>'Nonfarm employment'!$H$472</c:f>
              <c:strCache>
                <c:ptCount val="1"/>
                <c:pt idx="0">
                  <c:v>ME</c:v>
                </c:pt>
              </c:strCache>
            </c:strRef>
          </c:tx>
          <c:spPr>
            <a:ln w="28575" cap="rnd">
              <a:solidFill>
                <a:schemeClr val="accent3"/>
              </a:solidFill>
              <a:round/>
            </a:ln>
            <a:effectLst/>
          </c:spPr>
          <c:marker>
            <c:symbol val="none"/>
          </c:marker>
          <c:cat>
            <c:numRef>
              <c:f>'Nonfarm employment'!$B$461:$B$626</c:f>
              <c:numCache>
                <c:formatCode>mmm\-yy</c:formatCode>
                <c:ptCount val="154"/>
                <c:pt idx="0">
                  <c:v>39448</c:v>
                </c:pt>
                <c:pt idx="1">
                  <c:v>39479</c:v>
                </c:pt>
                <c:pt idx="2">
                  <c:v>39508</c:v>
                </c:pt>
                <c:pt idx="3">
                  <c:v>39539</c:v>
                </c:pt>
                <c:pt idx="4">
                  <c:v>39569</c:v>
                </c:pt>
                <c:pt idx="5">
                  <c:v>39600</c:v>
                </c:pt>
                <c:pt idx="6">
                  <c:v>39630</c:v>
                </c:pt>
                <c:pt idx="7">
                  <c:v>39661</c:v>
                </c:pt>
                <c:pt idx="8">
                  <c:v>39692</c:v>
                </c:pt>
                <c:pt idx="9">
                  <c:v>39722</c:v>
                </c:pt>
                <c:pt idx="10">
                  <c:v>39753</c:v>
                </c:pt>
                <c:pt idx="11">
                  <c:v>39783</c:v>
                </c:pt>
                <c:pt idx="12">
                  <c:v>39814</c:v>
                </c:pt>
                <c:pt idx="13">
                  <c:v>39845</c:v>
                </c:pt>
                <c:pt idx="14">
                  <c:v>39873</c:v>
                </c:pt>
                <c:pt idx="15">
                  <c:v>39904</c:v>
                </c:pt>
                <c:pt idx="16">
                  <c:v>39934</c:v>
                </c:pt>
                <c:pt idx="17">
                  <c:v>39965</c:v>
                </c:pt>
                <c:pt idx="18">
                  <c:v>39995</c:v>
                </c:pt>
                <c:pt idx="19">
                  <c:v>40026</c:v>
                </c:pt>
                <c:pt idx="20">
                  <c:v>40057</c:v>
                </c:pt>
                <c:pt idx="21">
                  <c:v>40087</c:v>
                </c:pt>
                <c:pt idx="22">
                  <c:v>40118</c:v>
                </c:pt>
                <c:pt idx="23">
                  <c:v>40148</c:v>
                </c:pt>
                <c:pt idx="24">
                  <c:v>40179</c:v>
                </c:pt>
                <c:pt idx="25">
                  <c:v>40210</c:v>
                </c:pt>
                <c:pt idx="26">
                  <c:v>40238</c:v>
                </c:pt>
                <c:pt idx="27">
                  <c:v>40269</c:v>
                </c:pt>
                <c:pt idx="28">
                  <c:v>40299</c:v>
                </c:pt>
                <c:pt idx="29">
                  <c:v>40330</c:v>
                </c:pt>
                <c:pt idx="30">
                  <c:v>40360</c:v>
                </c:pt>
                <c:pt idx="31">
                  <c:v>40391</c:v>
                </c:pt>
                <c:pt idx="32">
                  <c:v>40422</c:v>
                </c:pt>
                <c:pt idx="33">
                  <c:v>40452</c:v>
                </c:pt>
                <c:pt idx="34">
                  <c:v>40483</c:v>
                </c:pt>
                <c:pt idx="35">
                  <c:v>40513</c:v>
                </c:pt>
                <c:pt idx="36">
                  <c:v>40544</c:v>
                </c:pt>
                <c:pt idx="37">
                  <c:v>40575</c:v>
                </c:pt>
                <c:pt idx="38">
                  <c:v>40603</c:v>
                </c:pt>
                <c:pt idx="39">
                  <c:v>40634</c:v>
                </c:pt>
                <c:pt idx="40">
                  <c:v>40664</c:v>
                </c:pt>
                <c:pt idx="41">
                  <c:v>40695</c:v>
                </c:pt>
                <c:pt idx="42">
                  <c:v>40725</c:v>
                </c:pt>
                <c:pt idx="43">
                  <c:v>40756</c:v>
                </c:pt>
                <c:pt idx="44">
                  <c:v>40787</c:v>
                </c:pt>
                <c:pt idx="45">
                  <c:v>40817</c:v>
                </c:pt>
                <c:pt idx="46">
                  <c:v>40848</c:v>
                </c:pt>
                <c:pt idx="47">
                  <c:v>40878</c:v>
                </c:pt>
                <c:pt idx="48">
                  <c:v>40909</c:v>
                </c:pt>
                <c:pt idx="49">
                  <c:v>40940</c:v>
                </c:pt>
                <c:pt idx="50">
                  <c:v>40969</c:v>
                </c:pt>
                <c:pt idx="51">
                  <c:v>41000</c:v>
                </c:pt>
                <c:pt idx="52">
                  <c:v>41030</c:v>
                </c:pt>
                <c:pt idx="53">
                  <c:v>41061</c:v>
                </c:pt>
                <c:pt idx="54">
                  <c:v>41091</c:v>
                </c:pt>
                <c:pt idx="55">
                  <c:v>41122</c:v>
                </c:pt>
                <c:pt idx="56">
                  <c:v>41153</c:v>
                </c:pt>
                <c:pt idx="57">
                  <c:v>41183</c:v>
                </c:pt>
                <c:pt idx="58">
                  <c:v>41214</c:v>
                </c:pt>
                <c:pt idx="59">
                  <c:v>41244</c:v>
                </c:pt>
                <c:pt idx="60">
                  <c:v>41275</c:v>
                </c:pt>
                <c:pt idx="61">
                  <c:v>41306</c:v>
                </c:pt>
                <c:pt idx="62">
                  <c:v>41334</c:v>
                </c:pt>
                <c:pt idx="63">
                  <c:v>41365</c:v>
                </c:pt>
                <c:pt idx="64">
                  <c:v>41395</c:v>
                </c:pt>
                <c:pt idx="65">
                  <c:v>41426</c:v>
                </c:pt>
                <c:pt idx="66">
                  <c:v>41456</c:v>
                </c:pt>
                <c:pt idx="67">
                  <c:v>41487</c:v>
                </c:pt>
                <c:pt idx="68">
                  <c:v>41518</c:v>
                </c:pt>
                <c:pt idx="69">
                  <c:v>41548</c:v>
                </c:pt>
                <c:pt idx="70">
                  <c:v>41579</c:v>
                </c:pt>
                <c:pt idx="71">
                  <c:v>41609</c:v>
                </c:pt>
                <c:pt idx="72">
                  <c:v>41640</c:v>
                </c:pt>
                <c:pt idx="73">
                  <c:v>41671</c:v>
                </c:pt>
                <c:pt idx="74">
                  <c:v>41699</c:v>
                </c:pt>
                <c:pt idx="75">
                  <c:v>41730</c:v>
                </c:pt>
                <c:pt idx="76">
                  <c:v>41760</c:v>
                </c:pt>
                <c:pt idx="77">
                  <c:v>41791</c:v>
                </c:pt>
                <c:pt idx="78">
                  <c:v>41821</c:v>
                </c:pt>
                <c:pt idx="79">
                  <c:v>41852</c:v>
                </c:pt>
                <c:pt idx="80">
                  <c:v>41883</c:v>
                </c:pt>
                <c:pt idx="81">
                  <c:v>41913</c:v>
                </c:pt>
                <c:pt idx="82">
                  <c:v>41944</c:v>
                </c:pt>
                <c:pt idx="83">
                  <c:v>41974</c:v>
                </c:pt>
                <c:pt idx="84">
                  <c:v>42005</c:v>
                </c:pt>
                <c:pt idx="85">
                  <c:v>42036</c:v>
                </c:pt>
                <c:pt idx="86">
                  <c:v>42064</c:v>
                </c:pt>
                <c:pt idx="87">
                  <c:v>42095</c:v>
                </c:pt>
                <c:pt idx="88">
                  <c:v>42125</c:v>
                </c:pt>
                <c:pt idx="89">
                  <c:v>42156</c:v>
                </c:pt>
                <c:pt idx="90">
                  <c:v>42186</c:v>
                </c:pt>
                <c:pt idx="91">
                  <c:v>42217</c:v>
                </c:pt>
                <c:pt idx="92">
                  <c:v>42248</c:v>
                </c:pt>
                <c:pt idx="93">
                  <c:v>42278</c:v>
                </c:pt>
                <c:pt idx="94">
                  <c:v>42309</c:v>
                </c:pt>
                <c:pt idx="95">
                  <c:v>42339</c:v>
                </c:pt>
                <c:pt idx="96">
                  <c:v>42370</c:v>
                </c:pt>
                <c:pt idx="97">
                  <c:v>42401</c:v>
                </c:pt>
                <c:pt idx="98">
                  <c:v>42430</c:v>
                </c:pt>
                <c:pt idx="99">
                  <c:v>42461</c:v>
                </c:pt>
                <c:pt idx="100">
                  <c:v>42491</c:v>
                </c:pt>
                <c:pt idx="101">
                  <c:v>42522</c:v>
                </c:pt>
                <c:pt idx="102">
                  <c:v>42552</c:v>
                </c:pt>
                <c:pt idx="103">
                  <c:v>42583</c:v>
                </c:pt>
                <c:pt idx="104">
                  <c:v>42614</c:v>
                </c:pt>
                <c:pt idx="105">
                  <c:v>42644</c:v>
                </c:pt>
                <c:pt idx="106">
                  <c:v>42675</c:v>
                </c:pt>
                <c:pt idx="107">
                  <c:v>42705</c:v>
                </c:pt>
                <c:pt idx="108">
                  <c:v>42736</c:v>
                </c:pt>
                <c:pt idx="109">
                  <c:v>42767</c:v>
                </c:pt>
                <c:pt idx="110">
                  <c:v>42795</c:v>
                </c:pt>
                <c:pt idx="111">
                  <c:v>42826</c:v>
                </c:pt>
                <c:pt idx="112">
                  <c:v>42856</c:v>
                </c:pt>
                <c:pt idx="113">
                  <c:v>42887</c:v>
                </c:pt>
                <c:pt idx="114">
                  <c:v>42917</c:v>
                </c:pt>
                <c:pt idx="115">
                  <c:v>42948</c:v>
                </c:pt>
                <c:pt idx="116">
                  <c:v>42979</c:v>
                </c:pt>
                <c:pt idx="117">
                  <c:v>43009</c:v>
                </c:pt>
                <c:pt idx="118">
                  <c:v>43040</c:v>
                </c:pt>
                <c:pt idx="119">
                  <c:v>43070</c:v>
                </c:pt>
                <c:pt idx="120">
                  <c:v>43101</c:v>
                </c:pt>
                <c:pt idx="121">
                  <c:v>43132</c:v>
                </c:pt>
                <c:pt idx="122">
                  <c:v>43160</c:v>
                </c:pt>
                <c:pt idx="123">
                  <c:v>43191</c:v>
                </c:pt>
                <c:pt idx="124">
                  <c:v>43221</c:v>
                </c:pt>
                <c:pt idx="125">
                  <c:v>43252</c:v>
                </c:pt>
                <c:pt idx="126">
                  <c:v>43282</c:v>
                </c:pt>
                <c:pt idx="127">
                  <c:v>43313</c:v>
                </c:pt>
                <c:pt idx="128">
                  <c:v>43344</c:v>
                </c:pt>
                <c:pt idx="129">
                  <c:v>43374</c:v>
                </c:pt>
                <c:pt idx="130">
                  <c:v>43405</c:v>
                </c:pt>
                <c:pt idx="131">
                  <c:v>43435</c:v>
                </c:pt>
                <c:pt idx="132">
                  <c:v>43466</c:v>
                </c:pt>
                <c:pt idx="133">
                  <c:v>43497</c:v>
                </c:pt>
                <c:pt idx="134">
                  <c:v>43525</c:v>
                </c:pt>
                <c:pt idx="135">
                  <c:v>43556</c:v>
                </c:pt>
                <c:pt idx="136">
                  <c:v>43586</c:v>
                </c:pt>
                <c:pt idx="137">
                  <c:v>43617</c:v>
                </c:pt>
                <c:pt idx="138">
                  <c:v>43647</c:v>
                </c:pt>
                <c:pt idx="139">
                  <c:v>43678</c:v>
                </c:pt>
                <c:pt idx="140">
                  <c:v>43709</c:v>
                </c:pt>
                <c:pt idx="141">
                  <c:v>43739</c:v>
                </c:pt>
                <c:pt idx="142">
                  <c:v>43770</c:v>
                </c:pt>
                <c:pt idx="143">
                  <c:v>43800</c:v>
                </c:pt>
                <c:pt idx="144">
                  <c:v>43831</c:v>
                </c:pt>
                <c:pt idx="145">
                  <c:v>43862</c:v>
                </c:pt>
                <c:pt idx="146">
                  <c:v>43891</c:v>
                </c:pt>
                <c:pt idx="147">
                  <c:v>43922</c:v>
                </c:pt>
                <c:pt idx="148">
                  <c:v>43952</c:v>
                </c:pt>
                <c:pt idx="149">
                  <c:v>43983</c:v>
                </c:pt>
                <c:pt idx="150">
                  <c:v>44013</c:v>
                </c:pt>
                <c:pt idx="151">
                  <c:v>44044</c:v>
                </c:pt>
                <c:pt idx="152">
                  <c:v>44075</c:v>
                </c:pt>
              </c:numCache>
            </c:numRef>
          </c:cat>
          <c:val>
            <c:numRef>
              <c:f>'Nonfarm employment'!$H$461:$H$626</c:f>
              <c:numCache>
                <c:formatCode>0.0%</c:formatCode>
                <c:ptCount val="154"/>
                <c:pt idx="0">
                  <c:v>5.1855452924970532E-3</c:v>
                </c:pt>
                <c:pt idx="1">
                  <c:v>5.669852583832821E-3</c:v>
                </c:pt>
                <c:pt idx="2">
                  <c:v>4.0433446546983666E-3</c:v>
                </c:pt>
                <c:pt idx="3">
                  <c:v>9.102730819245626E-3</c:v>
                </c:pt>
                <c:pt idx="4">
                  <c:v>7.7972709551656178E-3</c:v>
                </c:pt>
                <c:pt idx="5">
                  <c:v>5.669852583832821E-3</c:v>
                </c:pt>
                <c:pt idx="6">
                  <c:v>9.7008892481814505E-4</c:v>
                </c:pt>
                <c:pt idx="7">
                  <c:v>-1.294917449012552E-3</c:v>
                </c:pt>
                <c:pt idx="8">
                  <c:v>-5.9831824062094629E-3</c:v>
                </c:pt>
                <c:pt idx="9">
                  <c:v>-6.1438965238479462E-3</c:v>
                </c:pt>
                <c:pt idx="10">
                  <c:v>-1.4978257368336214E-2</c:v>
                </c:pt>
                <c:pt idx="11">
                  <c:v>-1.9481564965384033E-2</c:v>
                </c:pt>
                <c:pt idx="12">
                  <c:v>-2.3053361276801475E-2</c:v>
                </c:pt>
                <c:pt idx="13">
                  <c:v>-2.9800257731958765E-2</c:v>
                </c:pt>
                <c:pt idx="14">
                  <c:v>-3.5438144329896913E-2</c:v>
                </c:pt>
                <c:pt idx="15">
                  <c:v>-3.5760309278350409E-2</c:v>
                </c:pt>
                <c:pt idx="16">
                  <c:v>-3.4816247582205063E-2</c:v>
                </c:pt>
                <c:pt idx="17">
                  <c:v>-4.1076030927835051E-2</c:v>
                </c:pt>
                <c:pt idx="18">
                  <c:v>-4.1027297690195405E-2</c:v>
                </c:pt>
                <c:pt idx="19">
                  <c:v>-4.0032414910859071E-2</c:v>
                </c:pt>
                <c:pt idx="20">
                  <c:v>-3.2861558483813315E-2</c:v>
                </c:pt>
                <c:pt idx="21">
                  <c:v>-3.4488368309744659E-2</c:v>
                </c:pt>
                <c:pt idx="22">
                  <c:v>-3.0575539568345397E-2</c:v>
                </c:pt>
                <c:pt idx="23">
                  <c:v>-2.6108374384236417E-2</c:v>
                </c:pt>
                <c:pt idx="24">
                  <c:v>-2.0297029702970221E-2</c:v>
                </c:pt>
                <c:pt idx="25">
                  <c:v>-1.5606840444960947E-2</c:v>
                </c:pt>
                <c:pt idx="26">
                  <c:v>-8.3500334001336014E-3</c:v>
                </c:pt>
                <c:pt idx="27">
                  <c:v>-7.5175409288339452E-3</c:v>
                </c:pt>
                <c:pt idx="28">
                  <c:v>-4.0080160320640906E-3</c:v>
                </c:pt>
                <c:pt idx="29">
                  <c:v>-5.0394758945069718E-3</c:v>
                </c:pt>
                <c:pt idx="30">
                  <c:v>-2.358093313121258E-3</c:v>
                </c:pt>
                <c:pt idx="31">
                  <c:v>-3.0390005065000078E-3</c:v>
                </c:pt>
                <c:pt idx="32">
                  <c:v>-2.3549201009251089E-3</c:v>
                </c:pt>
                <c:pt idx="33">
                  <c:v>6.73967986520602E-4</c:v>
                </c:pt>
                <c:pt idx="34">
                  <c:v>1.1806375442739846E-3</c:v>
                </c:pt>
                <c:pt idx="35">
                  <c:v>1.1802394199965129E-3</c:v>
                </c:pt>
                <c:pt idx="36">
                  <c:v>-1.3474818932121748E-3</c:v>
                </c:pt>
                <c:pt idx="37">
                  <c:v>3.3732501264968798E-3</c:v>
                </c:pt>
                <c:pt idx="38">
                  <c:v>1.6840687100033683E-3</c:v>
                </c:pt>
                <c:pt idx="39">
                  <c:v>-1.6832183134156327E-4</c:v>
                </c:pt>
                <c:pt idx="40">
                  <c:v>-7.2099262240106548E-3</c:v>
                </c:pt>
                <c:pt idx="41">
                  <c:v>1.688333614722653E-4</c:v>
                </c:pt>
                <c:pt idx="42">
                  <c:v>6.4156677359447382E-3</c:v>
                </c:pt>
                <c:pt idx="43">
                  <c:v>8.6367485182049491E-3</c:v>
                </c:pt>
                <c:pt idx="44">
                  <c:v>6.5756196256954594E-3</c:v>
                </c:pt>
                <c:pt idx="45">
                  <c:v>3.5359488129315083E-3</c:v>
                </c:pt>
                <c:pt idx="46">
                  <c:v>5.2223719676550246E-3</c:v>
                </c:pt>
                <c:pt idx="47">
                  <c:v>3.3681374200067366E-3</c:v>
                </c:pt>
                <c:pt idx="48">
                  <c:v>4.7225501770957468E-3</c:v>
                </c:pt>
                <c:pt idx="49">
                  <c:v>5.3790553034124148E-3</c:v>
                </c:pt>
                <c:pt idx="50">
                  <c:v>6.7249495628782787E-3</c:v>
                </c:pt>
                <c:pt idx="51">
                  <c:v>8.9225589225588459E-3</c:v>
                </c:pt>
                <c:pt idx="52">
                  <c:v>1.3173450430670417E-2</c:v>
                </c:pt>
                <c:pt idx="53">
                  <c:v>1.1647535449020894E-2</c:v>
                </c:pt>
                <c:pt idx="54">
                  <c:v>4.026170105686927E-3</c:v>
                </c:pt>
                <c:pt idx="55">
                  <c:v>4.7011417058427712E-3</c:v>
                </c:pt>
                <c:pt idx="56">
                  <c:v>2.6800670016750802E-3</c:v>
                </c:pt>
                <c:pt idx="57">
                  <c:v>4.1946308724832215E-3</c:v>
                </c:pt>
                <c:pt idx="58">
                  <c:v>3.1841796547678516E-3</c:v>
                </c:pt>
                <c:pt idx="59">
                  <c:v>4.0281973816718546E-3</c:v>
                </c:pt>
                <c:pt idx="60">
                  <c:v>5.7075709249621905E-3</c:v>
                </c:pt>
                <c:pt idx="61">
                  <c:v>1.839157331549946E-3</c:v>
                </c:pt>
                <c:pt idx="62">
                  <c:v>1.6700066800267202E-3</c:v>
                </c:pt>
                <c:pt idx="63">
                  <c:v>2.1691973969632378E-3</c:v>
                </c:pt>
                <c:pt idx="64">
                  <c:v>3.0005000833473383E-3</c:v>
                </c:pt>
                <c:pt idx="65">
                  <c:v>5.8401468379776413E-3</c:v>
                </c:pt>
                <c:pt idx="66">
                  <c:v>7.5187969924812026E-3</c:v>
                </c:pt>
                <c:pt idx="67">
                  <c:v>7.687165775401108E-3</c:v>
                </c:pt>
                <c:pt idx="68">
                  <c:v>9.522218509856217E-3</c:v>
                </c:pt>
                <c:pt idx="69">
                  <c:v>1.069340016708434E-2</c:v>
                </c:pt>
                <c:pt idx="70">
                  <c:v>7.5175409288339452E-3</c:v>
                </c:pt>
                <c:pt idx="71">
                  <c:v>8.8599130725509102E-3</c:v>
                </c:pt>
                <c:pt idx="72">
                  <c:v>5.8420964780504089E-3</c:v>
                </c:pt>
                <c:pt idx="73">
                  <c:v>7.1762349799732216E-3</c:v>
                </c:pt>
                <c:pt idx="74">
                  <c:v>6.3354451483829087E-3</c:v>
                </c:pt>
                <c:pt idx="75">
                  <c:v>4.3290043290043663E-3</c:v>
                </c:pt>
                <c:pt idx="76">
                  <c:v>5.9830480305798715E-3</c:v>
                </c:pt>
                <c:pt idx="77">
                  <c:v>7.2992700729928523E-3</c:v>
                </c:pt>
                <c:pt idx="78">
                  <c:v>3.8142620232171718E-3</c:v>
                </c:pt>
                <c:pt idx="79">
                  <c:v>4.8092868988390998E-3</c:v>
                </c:pt>
                <c:pt idx="80">
                  <c:v>4.1370180373986433E-3</c:v>
                </c:pt>
                <c:pt idx="81">
                  <c:v>5.6207637626053521E-3</c:v>
                </c:pt>
                <c:pt idx="82">
                  <c:v>6.7982092521970197E-3</c:v>
                </c:pt>
                <c:pt idx="83">
                  <c:v>9.2792046396023582E-3</c:v>
                </c:pt>
                <c:pt idx="84">
                  <c:v>9.2930633919681756E-3</c:v>
                </c:pt>
                <c:pt idx="85">
                  <c:v>5.7995028997514502E-3</c:v>
                </c:pt>
                <c:pt idx="86">
                  <c:v>6.9582504970177794E-3</c:v>
                </c:pt>
                <c:pt idx="87">
                  <c:v>9.4496021220158016E-3</c:v>
                </c:pt>
                <c:pt idx="88">
                  <c:v>9.9124401123409887E-3</c:v>
                </c:pt>
                <c:pt idx="89">
                  <c:v>7.9051383399208735E-3</c:v>
                </c:pt>
                <c:pt idx="90">
                  <c:v>1.2060135470014981E-2</c:v>
                </c:pt>
                <c:pt idx="91">
                  <c:v>1.1222974088133468E-2</c:v>
                </c:pt>
                <c:pt idx="92">
                  <c:v>9.7231377719184109E-3</c:v>
                </c:pt>
                <c:pt idx="93">
                  <c:v>7.5620581949696255E-3</c:v>
                </c:pt>
                <c:pt idx="94">
                  <c:v>9.2226613965742891E-3</c:v>
                </c:pt>
                <c:pt idx="95">
                  <c:v>7.0595961254308892E-3</c:v>
                </c:pt>
                <c:pt idx="96">
                  <c:v>1.1016113120683872E-2</c:v>
                </c:pt>
                <c:pt idx="97">
                  <c:v>1.5815485996705146E-2</c:v>
                </c:pt>
                <c:pt idx="98">
                  <c:v>1.4478446857519034E-2</c:v>
                </c:pt>
                <c:pt idx="99">
                  <c:v>1.4616521596321198E-2</c:v>
                </c:pt>
                <c:pt idx="100">
                  <c:v>9.8151480451496818E-3</c:v>
                </c:pt>
                <c:pt idx="101">
                  <c:v>9.3137254901961529E-3</c:v>
                </c:pt>
                <c:pt idx="102">
                  <c:v>1.1753183153770701E-2</c:v>
                </c:pt>
                <c:pt idx="103">
                  <c:v>1.191447690550017E-2</c:v>
                </c:pt>
                <c:pt idx="104">
                  <c:v>1.0119144769054891E-2</c:v>
                </c:pt>
                <c:pt idx="105">
                  <c:v>1.0768477728830189E-2</c:v>
                </c:pt>
                <c:pt idx="106">
                  <c:v>1.370757180156673E-2</c:v>
                </c:pt>
                <c:pt idx="107">
                  <c:v>1.3205086403651815E-2</c:v>
                </c:pt>
                <c:pt idx="108">
                  <c:v>1.1871849081151518E-2</c:v>
                </c:pt>
                <c:pt idx="109">
                  <c:v>7.4602659747000045E-3</c:v>
                </c:pt>
                <c:pt idx="110">
                  <c:v>1.0379500486539048E-2</c:v>
                </c:pt>
                <c:pt idx="111">
                  <c:v>7.4457753318226336E-3</c:v>
                </c:pt>
                <c:pt idx="112">
                  <c:v>7.6138020411470044E-3</c:v>
                </c:pt>
                <c:pt idx="113">
                  <c:v>1.0361016674761173E-2</c:v>
                </c:pt>
                <c:pt idx="114">
                  <c:v>7.5830913197806483E-3</c:v>
                </c:pt>
                <c:pt idx="115">
                  <c:v>8.2258064516129402E-3</c:v>
                </c:pt>
                <c:pt idx="116">
                  <c:v>9.8561964776216239E-3</c:v>
                </c:pt>
                <c:pt idx="117">
                  <c:v>7.5867635189669821E-3</c:v>
                </c:pt>
                <c:pt idx="118">
                  <c:v>8.0489375402446866E-3</c:v>
                </c:pt>
                <c:pt idx="119">
                  <c:v>9.814963797264719E-3</c:v>
                </c:pt>
                <c:pt idx="120">
                  <c:v>8.3574413371905031E-3</c:v>
                </c:pt>
                <c:pt idx="121">
                  <c:v>1.2717321313586568E-2</c:v>
                </c:pt>
                <c:pt idx="122">
                  <c:v>8.6677367576243614E-3</c:v>
                </c:pt>
                <c:pt idx="123">
                  <c:v>1.1728791773779031E-2</c:v>
                </c:pt>
                <c:pt idx="124">
                  <c:v>1.2540192926044942E-2</c:v>
                </c:pt>
                <c:pt idx="125">
                  <c:v>1.0414997596539017E-2</c:v>
                </c:pt>
                <c:pt idx="126">
                  <c:v>8.0064051240992789E-3</c:v>
                </c:pt>
                <c:pt idx="127">
                  <c:v>7.0388737801951318E-3</c:v>
                </c:pt>
                <c:pt idx="128">
                  <c:v>9.439999999999964E-3</c:v>
                </c:pt>
                <c:pt idx="129">
                  <c:v>1.3937840435757659E-2</c:v>
                </c:pt>
                <c:pt idx="130">
                  <c:v>1.1338230597253128E-2</c:v>
                </c:pt>
                <c:pt idx="131">
                  <c:v>8.7635436583811347E-3</c:v>
                </c:pt>
                <c:pt idx="132">
                  <c:v>1.2591648071405765E-2</c:v>
                </c:pt>
                <c:pt idx="133">
                  <c:v>1.0650135113654318E-2</c:v>
                </c:pt>
                <c:pt idx="134">
                  <c:v>1.1457670273711085E-2</c:v>
                </c:pt>
                <c:pt idx="135">
                  <c:v>7.6226774654596704E-3</c:v>
                </c:pt>
                <c:pt idx="136">
                  <c:v>7.3039060019054036E-3</c:v>
                </c:pt>
                <c:pt idx="137">
                  <c:v>6.5017443704408857E-3</c:v>
                </c:pt>
                <c:pt idx="138">
                  <c:v>7.9428117553613977E-3</c:v>
                </c:pt>
                <c:pt idx="139">
                  <c:v>1.2390786338363708E-2</c:v>
                </c:pt>
                <c:pt idx="140">
                  <c:v>1.0778253288952398E-2</c:v>
                </c:pt>
                <c:pt idx="141">
                  <c:v>8.3741507347133322E-3</c:v>
                </c:pt>
                <c:pt idx="142">
                  <c:v>4.7370914258645196E-3</c:v>
                </c:pt>
                <c:pt idx="143">
                  <c:v>7.8976465013425989E-3</c:v>
                </c:pt>
                <c:pt idx="144">
                  <c:v>5.9814260979066088E-3</c:v>
                </c:pt>
                <c:pt idx="145">
                  <c:v>2.3592324630386918E-3</c:v>
                </c:pt>
                <c:pt idx="146">
                  <c:v>-8.6532410320956567E-3</c:v>
                </c:pt>
                <c:pt idx="147">
                  <c:v>-0.16028368794326248</c:v>
                </c:pt>
                <c:pt idx="148">
                  <c:v>-0.13776796973518282</c:v>
                </c:pt>
                <c:pt idx="149">
                  <c:v>-0.1072947849377659</c:v>
                </c:pt>
                <c:pt idx="150">
                  <c:v>-9.2356185973207286E-2</c:v>
                </c:pt>
                <c:pt idx="151">
                  <c:v>-8.6772320728071492E-2</c:v>
                </c:pt>
                <c:pt idx="152">
                  <c:v>-7.9974909832209493E-2</c:v>
                </c:pt>
              </c:numCache>
            </c:numRef>
          </c:val>
          <c:smooth val="0"/>
          <c:extLst>
            <c:ext xmlns:c16="http://schemas.microsoft.com/office/drawing/2014/chart" uri="{C3380CC4-5D6E-409C-BE32-E72D297353CC}">
              <c16:uniqueId val="{00000002-3FF9-4927-81E4-7CD0D05E8592}"/>
            </c:ext>
          </c:extLst>
        </c:ser>
        <c:dLbls>
          <c:showLegendKey val="0"/>
          <c:showVal val="0"/>
          <c:showCatName val="0"/>
          <c:showSerName val="0"/>
          <c:showPercent val="0"/>
          <c:showBubbleSize val="0"/>
        </c:dLbls>
        <c:smooth val="0"/>
        <c:axId val="532132056"/>
        <c:axId val="532117624"/>
      </c:lineChart>
      <c:dateAx>
        <c:axId val="532132056"/>
        <c:scaling>
          <c:orientation val="minMax"/>
        </c:scaling>
        <c:delete val="0"/>
        <c:axPos val="b"/>
        <c:numFmt formatCode="yyyy" sourceLinked="0"/>
        <c:majorTickMark val="none"/>
        <c:minorTickMark val="none"/>
        <c:tickLblPos val="low"/>
        <c:spPr>
          <a:noFill/>
          <a:ln w="254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32117624"/>
        <c:crosses val="autoZero"/>
        <c:auto val="1"/>
        <c:lblOffset val="100"/>
        <c:baseTimeUnit val="months"/>
        <c:majorUnit val="12"/>
      </c:dateAx>
      <c:valAx>
        <c:axId val="532117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US"/>
                  <a:t>Percent change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532132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r>
              <a:rPr lang="en-US"/>
              <a:t>Percent Changes, Year-over-year  in FHFA House Price Index (Seasonally Adjusted)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aramond" panose="02020404030301010803" pitchFamily="18" charset="0"/>
              <a:ea typeface="+mn-ea"/>
              <a:cs typeface="+mn-cs"/>
            </a:defRPr>
          </a:pPr>
          <a:endParaRPr lang="en-US"/>
        </a:p>
      </c:txPr>
    </c:title>
    <c:autoTitleDeleted val="0"/>
    <c:plotArea>
      <c:layout/>
      <c:lineChart>
        <c:grouping val="standard"/>
        <c:varyColors val="0"/>
        <c:ser>
          <c:idx val="0"/>
          <c:order val="0"/>
          <c:tx>
            <c:strRef>
              <c:f>'HPI - seasonally adjusted'!$F$2</c:f>
              <c:strCache>
                <c:ptCount val="1"/>
                <c:pt idx="0">
                  <c:v>US</c:v>
                </c:pt>
              </c:strCache>
            </c:strRef>
          </c:tx>
          <c:spPr>
            <a:ln w="28575" cap="rnd">
              <a:solidFill>
                <a:schemeClr val="accent1"/>
              </a:solidFill>
              <a:round/>
            </a:ln>
            <a:effectLst/>
          </c:spPr>
          <c:marker>
            <c:symbol val="none"/>
          </c:marker>
          <c:cat>
            <c:numRef>
              <c:f>'HPI - seasonally adjusted'!$A$71:$A$120</c:f>
              <c:numCache>
                <c:formatCode>General</c:formatCode>
                <c:ptCount val="50"/>
                <c:pt idx="0">
                  <c:v>2008</c:v>
                </c:pt>
                <c:pt idx="1">
                  <c:v>2008</c:v>
                </c:pt>
                <c:pt idx="2">
                  <c:v>2008</c:v>
                </c:pt>
                <c:pt idx="3">
                  <c:v>2008</c:v>
                </c:pt>
                <c:pt idx="4">
                  <c:v>2009</c:v>
                </c:pt>
                <c:pt idx="5">
                  <c:v>2009</c:v>
                </c:pt>
                <c:pt idx="6">
                  <c:v>2009</c:v>
                </c:pt>
                <c:pt idx="7">
                  <c:v>2009</c:v>
                </c:pt>
                <c:pt idx="8">
                  <c:v>2010</c:v>
                </c:pt>
                <c:pt idx="9">
                  <c:v>2010</c:v>
                </c:pt>
                <c:pt idx="10">
                  <c:v>2010</c:v>
                </c:pt>
                <c:pt idx="11">
                  <c:v>2010</c:v>
                </c:pt>
                <c:pt idx="12">
                  <c:v>2011</c:v>
                </c:pt>
                <c:pt idx="13">
                  <c:v>2011</c:v>
                </c:pt>
                <c:pt idx="14">
                  <c:v>2011</c:v>
                </c:pt>
                <c:pt idx="15">
                  <c:v>2011</c:v>
                </c:pt>
                <c:pt idx="16">
                  <c:v>2012</c:v>
                </c:pt>
                <c:pt idx="17">
                  <c:v>2012</c:v>
                </c:pt>
                <c:pt idx="18">
                  <c:v>2012</c:v>
                </c:pt>
                <c:pt idx="19">
                  <c:v>2012</c:v>
                </c:pt>
                <c:pt idx="20">
                  <c:v>2013</c:v>
                </c:pt>
                <c:pt idx="21">
                  <c:v>2013</c:v>
                </c:pt>
                <c:pt idx="22">
                  <c:v>2013</c:v>
                </c:pt>
                <c:pt idx="23">
                  <c:v>2013</c:v>
                </c:pt>
                <c:pt idx="24">
                  <c:v>2014</c:v>
                </c:pt>
                <c:pt idx="25">
                  <c:v>2014</c:v>
                </c:pt>
                <c:pt idx="26">
                  <c:v>2014</c:v>
                </c:pt>
                <c:pt idx="27">
                  <c:v>2014</c:v>
                </c:pt>
                <c:pt idx="28">
                  <c:v>2015</c:v>
                </c:pt>
                <c:pt idx="29">
                  <c:v>2015</c:v>
                </c:pt>
                <c:pt idx="30">
                  <c:v>2015</c:v>
                </c:pt>
                <c:pt idx="31">
                  <c:v>2015</c:v>
                </c:pt>
                <c:pt idx="32">
                  <c:v>2016</c:v>
                </c:pt>
                <c:pt idx="33">
                  <c:v>2016</c:v>
                </c:pt>
                <c:pt idx="34">
                  <c:v>2016</c:v>
                </c:pt>
                <c:pt idx="35">
                  <c:v>2016</c:v>
                </c:pt>
                <c:pt idx="36">
                  <c:v>2017</c:v>
                </c:pt>
                <c:pt idx="37">
                  <c:v>2017</c:v>
                </c:pt>
                <c:pt idx="38">
                  <c:v>2017</c:v>
                </c:pt>
                <c:pt idx="39">
                  <c:v>2017</c:v>
                </c:pt>
                <c:pt idx="40">
                  <c:v>2018</c:v>
                </c:pt>
                <c:pt idx="41">
                  <c:v>2018</c:v>
                </c:pt>
                <c:pt idx="42">
                  <c:v>2018</c:v>
                </c:pt>
                <c:pt idx="43">
                  <c:v>2018</c:v>
                </c:pt>
                <c:pt idx="44">
                  <c:v>2019</c:v>
                </c:pt>
                <c:pt idx="45">
                  <c:v>2019</c:v>
                </c:pt>
                <c:pt idx="46">
                  <c:v>2019</c:v>
                </c:pt>
                <c:pt idx="47">
                  <c:v>2019</c:v>
                </c:pt>
                <c:pt idx="48">
                  <c:v>2020</c:v>
                </c:pt>
                <c:pt idx="49">
                  <c:v>2020</c:v>
                </c:pt>
              </c:numCache>
            </c:numRef>
          </c:cat>
          <c:val>
            <c:numRef>
              <c:f>'HPI - seasonally adjusted'!$F$71:$F$120</c:f>
              <c:numCache>
                <c:formatCode>0.0%</c:formatCode>
                <c:ptCount val="50"/>
                <c:pt idx="0">
                  <c:v>-5.5253057216816948E-2</c:v>
                </c:pt>
                <c:pt idx="1">
                  <c:v>-7.9280569102053611E-2</c:v>
                </c:pt>
                <c:pt idx="2">
                  <c:v>-9.1028545536927852E-2</c:v>
                </c:pt>
                <c:pt idx="3">
                  <c:v>-0.10159169550173019</c:v>
                </c:pt>
                <c:pt idx="4">
                  <c:v>-8.4986772486772555E-2</c:v>
                </c:pt>
                <c:pt idx="5">
                  <c:v>-7.2403906895378789E-2</c:v>
                </c:pt>
                <c:pt idx="6">
                  <c:v>-5.2938537460744728E-2</c:v>
                </c:pt>
                <c:pt idx="7">
                  <c:v>-2.5214399424844602E-2</c:v>
                </c:pt>
                <c:pt idx="8">
                  <c:v>-2.9118694821622104E-2</c:v>
                </c:pt>
                <c:pt idx="9">
                  <c:v>-1.9487663052019433E-2</c:v>
                </c:pt>
                <c:pt idx="10">
                  <c:v>-3.1054266014000742E-2</c:v>
                </c:pt>
                <c:pt idx="11">
                  <c:v>-3.9827204720261355E-2</c:v>
                </c:pt>
                <c:pt idx="12">
                  <c:v>-5.2113799521403936E-2</c:v>
                </c:pt>
                <c:pt idx="13">
                  <c:v>-5.551103275097502E-2</c:v>
                </c:pt>
                <c:pt idx="14">
                  <c:v>-3.6069313922537982E-2</c:v>
                </c:pt>
                <c:pt idx="15">
                  <c:v>-2.469000329200044E-2</c:v>
                </c:pt>
                <c:pt idx="16">
                  <c:v>1.7952314165496919E-3</c:v>
                </c:pt>
                <c:pt idx="17">
                  <c:v>2.6643285439529318E-2</c:v>
                </c:pt>
                <c:pt idx="18">
                  <c:v>3.5390250774866239E-2</c:v>
                </c:pt>
                <c:pt idx="19">
                  <c:v>4.911116111611169E-2</c:v>
                </c:pt>
                <c:pt idx="20">
                  <c:v>6.6024528196225729E-2</c:v>
                </c:pt>
                <c:pt idx="21">
                  <c:v>7.0637500688743193E-2</c:v>
                </c:pt>
                <c:pt idx="22">
                  <c:v>7.4457083764219334E-2</c:v>
                </c:pt>
                <c:pt idx="23">
                  <c:v>6.9226231969542473E-2</c:v>
                </c:pt>
                <c:pt idx="24">
                  <c:v>6.062197940743852E-2</c:v>
                </c:pt>
                <c:pt idx="25">
                  <c:v>4.8582162523802097E-2</c:v>
                </c:pt>
                <c:pt idx="26">
                  <c:v>4.3766779798389166E-2</c:v>
                </c:pt>
                <c:pt idx="27">
                  <c:v>4.7041123370110238E-2</c:v>
                </c:pt>
                <c:pt idx="28">
                  <c:v>4.8340762753838584E-2</c:v>
                </c:pt>
                <c:pt idx="29">
                  <c:v>5.2319018404908046E-2</c:v>
                </c:pt>
                <c:pt idx="30">
                  <c:v>5.4113079349672244E-2</c:v>
                </c:pt>
                <c:pt idx="31">
                  <c:v>5.5608774786856996E-2</c:v>
                </c:pt>
                <c:pt idx="32">
                  <c:v>5.5324577152036314E-2</c:v>
                </c:pt>
                <c:pt idx="33">
                  <c:v>5.6200736905927862E-2</c:v>
                </c:pt>
                <c:pt idx="34">
                  <c:v>5.860957642725606E-2</c:v>
                </c:pt>
                <c:pt idx="35">
                  <c:v>6.0483688007622938E-2</c:v>
                </c:pt>
                <c:pt idx="36">
                  <c:v>5.958723194699389E-2</c:v>
                </c:pt>
                <c:pt idx="37">
                  <c:v>6.3499072683917746E-2</c:v>
                </c:pt>
                <c:pt idx="38">
                  <c:v>6.4715348149436691E-2</c:v>
                </c:pt>
                <c:pt idx="39">
                  <c:v>6.4393291117576634E-2</c:v>
                </c:pt>
                <c:pt idx="40">
                  <c:v>7.0179144836910456E-2</c:v>
                </c:pt>
                <c:pt idx="41">
                  <c:v>6.5935891047998796E-2</c:v>
                </c:pt>
                <c:pt idx="42">
                  <c:v>6.23340549814142E-2</c:v>
                </c:pt>
                <c:pt idx="43">
                  <c:v>5.8809341962455131E-2</c:v>
                </c:pt>
                <c:pt idx="44">
                  <c:v>5.2430020924631782E-2</c:v>
                </c:pt>
                <c:pt idx="45">
                  <c:v>5.2119040199439137E-2</c:v>
                </c:pt>
                <c:pt idx="46">
                  <c:v>5.1447687161148892E-2</c:v>
                </c:pt>
                <c:pt idx="47">
                  <c:v>5.3910402429764748E-2</c:v>
                </c:pt>
                <c:pt idx="48">
                  <c:v>5.9008890722887175E-2</c:v>
                </c:pt>
                <c:pt idx="49">
                  <c:v>5.4017030729359483E-2</c:v>
                </c:pt>
              </c:numCache>
            </c:numRef>
          </c:val>
          <c:smooth val="0"/>
          <c:extLst>
            <c:ext xmlns:c16="http://schemas.microsoft.com/office/drawing/2014/chart" uri="{C3380CC4-5D6E-409C-BE32-E72D297353CC}">
              <c16:uniqueId val="{00000000-8F1E-40BB-9E2D-C875750C4AB9}"/>
            </c:ext>
          </c:extLst>
        </c:ser>
        <c:ser>
          <c:idx val="1"/>
          <c:order val="1"/>
          <c:tx>
            <c:strRef>
              <c:f>'HPI - seasonally adjusted'!$G$2</c:f>
              <c:strCache>
                <c:ptCount val="1"/>
                <c:pt idx="0">
                  <c:v>NE</c:v>
                </c:pt>
              </c:strCache>
            </c:strRef>
          </c:tx>
          <c:spPr>
            <a:ln w="28575" cap="rnd">
              <a:solidFill>
                <a:schemeClr val="accent2"/>
              </a:solidFill>
              <a:round/>
            </a:ln>
            <a:effectLst/>
          </c:spPr>
          <c:marker>
            <c:symbol val="none"/>
          </c:marker>
          <c:cat>
            <c:numRef>
              <c:f>'HPI - seasonally adjusted'!$A$71:$A$120</c:f>
              <c:numCache>
                <c:formatCode>General</c:formatCode>
                <c:ptCount val="50"/>
                <c:pt idx="0">
                  <c:v>2008</c:v>
                </c:pt>
                <c:pt idx="1">
                  <c:v>2008</c:v>
                </c:pt>
                <c:pt idx="2">
                  <c:v>2008</c:v>
                </c:pt>
                <c:pt idx="3">
                  <c:v>2008</c:v>
                </c:pt>
                <c:pt idx="4">
                  <c:v>2009</c:v>
                </c:pt>
                <c:pt idx="5">
                  <c:v>2009</c:v>
                </c:pt>
                <c:pt idx="6">
                  <c:v>2009</c:v>
                </c:pt>
                <c:pt idx="7">
                  <c:v>2009</c:v>
                </c:pt>
                <c:pt idx="8">
                  <c:v>2010</c:v>
                </c:pt>
                <c:pt idx="9">
                  <c:v>2010</c:v>
                </c:pt>
                <c:pt idx="10">
                  <c:v>2010</c:v>
                </c:pt>
                <c:pt idx="11">
                  <c:v>2010</c:v>
                </c:pt>
                <c:pt idx="12">
                  <c:v>2011</c:v>
                </c:pt>
                <c:pt idx="13">
                  <c:v>2011</c:v>
                </c:pt>
                <c:pt idx="14">
                  <c:v>2011</c:v>
                </c:pt>
                <c:pt idx="15">
                  <c:v>2011</c:v>
                </c:pt>
                <c:pt idx="16">
                  <c:v>2012</c:v>
                </c:pt>
                <c:pt idx="17">
                  <c:v>2012</c:v>
                </c:pt>
                <c:pt idx="18">
                  <c:v>2012</c:v>
                </c:pt>
                <c:pt idx="19">
                  <c:v>2012</c:v>
                </c:pt>
                <c:pt idx="20">
                  <c:v>2013</c:v>
                </c:pt>
                <c:pt idx="21">
                  <c:v>2013</c:v>
                </c:pt>
                <c:pt idx="22">
                  <c:v>2013</c:v>
                </c:pt>
                <c:pt idx="23">
                  <c:v>2013</c:v>
                </c:pt>
                <c:pt idx="24">
                  <c:v>2014</c:v>
                </c:pt>
                <c:pt idx="25">
                  <c:v>2014</c:v>
                </c:pt>
                <c:pt idx="26">
                  <c:v>2014</c:v>
                </c:pt>
                <c:pt idx="27">
                  <c:v>2014</c:v>
                </c:pt>
                <c:pt idx="28">
                  <c:v>2015</c:v>
                </c:pt>
                <c:pt idx="29">
                  <c:v>2015</c:v>
                </c:pt>
                <c:pt idx="30">
                  <c:v>2015</c:v>
                </c:pt>
                <c:pt idx="31">
                  <c:v>2015</c:v>
                </c:pt>
                <c:pt idx="32">
                  <c:v>2016</c:v>
                </c:pt>
                <c:pt idx="33">
                  <c:v>2016</c:v>
                </c:pt>
                <c:pt idx="34">
                  <c:v>2016</c:v>
                </c:pt>
                <c:pt idx="35">
                  <c:v>2016</c:v>
                </c:pt>
                <c:pt idx="36">
                  <c:v>2017</c:v>
                </c:pt>
                <c:pt idx="37">
                  <c:v>2017</c:v>
                </c:pt>
                <c:pt idx="38">
                  <c:v>2017</c:v>
                </c:pt>
                <c:pt idx="39">
                  <c:v>2017</c:v>
                </c:pt>
                <c:pt idx="40">
                  <c:v>2018</c:v>
                </c:pt>
                <c:pt idx="41">
                  <c:v>2018</c:v>
                </c:pt>
                <c:pt idx="42">
                  <c:v>2018</c:v>
                </c:pt>
                <c:pt idx="43">
                  <c:v>2018</c:v>
                </c:pt>
                <c:pt idx="44">
                  <c:v>2019</c:v>
                </c:pt>
                <c:pt idx="45">
                  <c:v>2019</c:v>
                </c:pt>
                <c:pt idx="46">
                  <c:v>2019</c:v>
                </c:pt>
                <c:pt idx="47">
                  <c:v>2019</c:v>
                </c:pt>
                <c:pt idx="48">
                  <c:v>2020</c:v>
                </c:pt>
                <c:pt idx="49">
                  <c:v>2020</c:v>
                </c:pt>
              </c:numCache>
            </c:numRef>
          </c:cat>
          <c:val>
            <c:numRef>
              <c:f>'HPI - seasonally adjusted'!$G$71:$G$120</c:f>
              <c:numCache>
                <c:formatCode>0.0%</c:formatCode>
                <c:ptCount val="50"/>
                <c:pt idx="0">
                  <c:v>-3.6360379724162617E-2</c:v>
                </c:pt>
                <c:pt idx="1">
                  <c:v>-5.6363309998205047E-2</c:v>
                </c:pt>
                <c:pt idx="2">
                  <c:v>-6.4530726762602963E-2</c:v>
                </c:pt>
                <c:pt idx="3">
                  <c:v>-6.7109786843914776E-2</c:v>
                </c:pt>
                <c:pt idx="4">
                  <c:v>-4.5539033457248967E-2</c:v>
                </c:pt>
                <c:pt idx="5">
                  <c:v>-4.0992961765265346E-2</c:v>
                </c:pt>
                <c:pt idx="6">
                  <c:v>-3.2701238390092868E-2</c:v>
                </c:pt>
                <c:pt idx="7">
                  <c:v>-2.058866886148103E-2</c:v>
                </c:pt>
                <c:pt idx="8">
                  <c:v>-3.680623174294062E-2</c:v>
                </c:pt>
                <c:pt idx="9">
                  <c:v>-2.4645442824556163E-2</c:v>
                </c:pt>
                <c:pt idx="10">
                  <c:v>-1.9453890778155736E-2</c:v>
                </c:pt>
                <c:pt idx="11">
                  <c:v>-2.2576760987357058E-2</c:v>
                </c:pt>
                <c:pt idx="12">
                  <c:v>-2.9923170238576713E-2</c:v>
                </c:pt>
                <c:pt idx="13">
                  <c:v>-2.8064466927652743E-2</c:v>
                </c:pt>
                <c:pt idx="14">
                  <c:v>-3.0295302698016058E-2</c:v>
                </c:pt>
                <c:pt idx="15">
                  <c:v>-2.2533620778154129E-2</c:v>
                </c:pt>
                <c:pt idx="16">
                  <c:v>-1.5579408086702662E-2</c:v>
                </c:pt>
                <c:pt idx="17">
                  <c:v>-1.0880368258617934E-2</c:v>
                </c:pt>
                <c:pt idx="18">
                  <c:v>-2.629779624467421E-3</c:v>
                </c:pt>
                <c:pt idx="19">
                  <c:v>5.7238880428505112E-3</c:v>
                </c:pt>
                <c:pt idx="20">
                  <c:v>2.6200179960832015E-2</c:v>
                </c:pt>
                <c:pt idx="21">
                  <c:v>3.5274208049077105E-2</c:v>
                </c:pt>
                <c:pt idx="22">
                  <c:v>4.134366925064592E-2</c:v>
                </c:pt>
                <c:pt idx="23">
                  <c:v>3.2581453634085156E-2</c:v>
                </c:pt>
                <c:pt idx="24">
                  <c:v>2.8213327831648538E-2</c:v>
                </c:pt>
                <c:pt idx="25">
                  <c:v>2.686963628933392E-2</c:v>
                </c:pt>
                <c:pt idx="26">
                  <c:v>2.6231832683445644E-2</c:v>
                </c:pt>
                <c:pt idx="27">
                  <c:v>2.4726941747572839E-2</c:v>
                </c:pt>
                <c:pt idx="28">
                  <c:v>2.7840481565086561E-2</c:v>
                </c:pt>
                <c:pt idx="29">
                  <c:v>3.4324942791761792E-2</c:v>
                </c:pt>
                <c:pt idx="30">
                  <c:v>2.9607698001480331E-2</c:v>
                </c:pt>
                <c:pt idx="31">
                  <c:v>3.77004687885516E-2</c:v>
                </c:pt>
                <c:pt idx="32">
                  <c:v>3.5187896534895069E-2</c:v>
                </c:pt>
                <c:pt idx="33">
                  <c:v>3.0107733743747644E-2</c:v>
                </c:pt>
                <c:pt idx="34">
                  <c:v>3.8868919242750932E-2</c:v>
                </c:pt>
                <c:pt idx="35">
                  <c:v>4.8076465832897597E-2</c:v>
                </c:pt>
                <c:pt idx="36">
                  <c:v>5.256706425911073E-2</c:v>
                </c:pt>
                <c:pt idx="37">
                  <c:v>5.5327294798767301E-2</c:v>
                </c:pt>
                <c:pt idx="38">
                  <c:v>5.743679645691091E-2</c:v>
                </c:pt>
                <c:pt idx="39">
                  <c:v>5.4900181488203303E-2</c:v>
                </c:pt>
                <c:pt idx="40">
                  <c:v>5.1822986652333647E-2</c:v>
                </c:pt>
                <c:pt idx="41">
                  <c:v>5.4107861788258216E-2</c:v>
                </c:pt>
                <c:pt idx="42">
                  <c:v>4.8383578377906744E-2</c:v>
                </c:pt>
                <c:pt idx="43">
                  <c:v>4.9161290322580653E-2</c:v>
                </c:pt>
                <c:pt idx="44">
                  <c:v>4.679981263041344E-2</c:v>
                </c:pt>
                <c:pt idx="45">
                  <c:v>4.3146142869134652E-2</c:v>
                </c:pt>
                <c:pt idx="46">
                  <c:v>4.6608406158967997E-2</c:v>
                </c:pt>
                <c:pt idx="47">
                  <c:v>4.1692288771368879E-2</c:v>
                </c:pt>
                <c:pt idx="48">
                  <c:v>5.3779188023757252E-2</c:v>
                </c:pt>
                <c:pt idx="49">
                  <c:v>4.6149513156835908E-2</c:v>
                </c:pt>
              </c:numCache>
            </c:numRef>
          </c:val>
          <c:smooth val="0"/>
          <c:extLst>
            <c:ext xmlns:c16="http://schemas.microsoft.com/office/drawing/2014/chart" uri="{C3380CC4-5D6E-409C-BE32-E72D297353CC}">
              <c16:uniqueId val="{00000001-8F1E-40BB-9E2D-C875750C4AB9}"/>
            </c:ext>
          </c:extLst>
        </c:ser>
        <c:ser>
          <c:idx val="2"/>
          <c:order val="2"/>
          <c:tx>
            <c:strRef>
              <c:f>'HPI - seasonally adjusted'!$H$2</c:f>
              <c:strCache>
                <c:ptCount val="1"/>
                <c:pt idx="0">
                  <c:v>ME</c:v>
                </c:pt>
              </c:strCache>
            </c:strRef>
          </c:tx>
          <c:spPr>
            <a:ln w="28575" cap="rnd">
              <a:solidFill>
                <a:schemeClr val="accent3"/>
              </a:solidFill>
              <a:round/>
            </a:ln>
            <a:effectLst/>
          </c:spPr>
          <c:marker>
            <c:symbol val="none"/>
          </c:marker>
          <c:cat>
            <c:numRef>
              <c:f>'HPI - seasonally adjusted'!$A$71:$A$120</c:f>
              <c:numCache>
                <c:formatCode>General</c:formatCode>
                <c:ptCount val="50"/>
                <c:pt idx="0">
                  <c:v>2008</c:v>
                </c:pt>
                <c:pt idx="1">
                  <c:v>2008</c:v>
                </c:pt>
                <c:pt idx="2">
                  <c:v>2008</c:v>
                </c:pt>
                <c:pt idx="3">
                  <c:v>2008</c:v>
                </c:pt>
                <c:pt idx="4">
                  <c:v>2009</c:v>
                </c:pt>
                <c:pt idx="5">
                  <c:v>2009</c:v>
                </c:pt>
                <c:pt idx="6">
                  <c:v>2009</c:v>
                </c:pt>
                <c:pt idx="7">
                  <c:v>2009</c:v>
                </c:pt>
                <c:pt idx="8">
                  <c:v>2010</c:v>
                </c:pt>
                <c:pt idx="9">
                  <c:v>2010</c:v>
                </c:pt>
                <c:pt idx="10">
                  <c:v>2010</c:v>
                </c:pt>
                <c:pt idx="11">
                  <c:v>2010</c:v>
                </c:pt>
                <c:pt idx="12">
                  <c:v>2011</c:v>
                </c:pt>
                <c:pt idx="13">
                  <c:v>2011</c:v>
                </c:pt>
                <c:pt idx="14">
                  <c:v>2011</c:v>
                </c:pt>
                <c:pt idx="15">
                  <c:v>2011</c:v>
                </c:pt>
                <c:pt idx="16">
                  <c:v>2012</c:v>
                </c:pt>
                <c:pt idx="17">
                  <c:v>2012</c:v>
                </c:pt>
                <c:pt idx="18">
                  <c:v>2012</c:v>
                </c:pt>
                <c:pt idx="19">
                  <c:v>2012</c:v>
                </c:pt>
                <c:pt idx="20">
                  <c:v>2013</c:v>
                </c:pt>
                <c:pt idx="21">
                  <c:v>2013</c:v>
                </c:pt>
                <c:pt idx="22">
                  <c:v>2013</c:v>
                </c:pt>
                <c:pt idx="23">
                  <c:v>2013</c:v>
                </c:pt>
                <c:pt idx="24">
                  <c:v>2014</c:v>
                </c:pt>
                <c:pt idx="25">
                  <c:v>2014</c:v>
                </c:pt>
                <c:pt idx="26">
                  <c:v>2014</c:v>
                </c:pt>
                <c:pt idx="27">
                  <c:v>2014</c:v>
                </c:pt>
                <c:pt idx="28">
                  <c:v>2015</c:v>
                </c:pt>
                <c:pt idx="29">
                  <c:v>2015</c:v>
                </c:pt>
                <c:pt idx="30">
                  <c:v>2015</c:v>
                </c:pt>
                <c:pt idx="31">
                  <c:v>2015</c:v>
                </c:pt>
                <c:pt idx="32">
                  <c:v>2016</c:v>
                </c:pt>
                <c:pt idx="33">
                  <c:v>2016</c:v>
                </c:pt>
                <c:pt idx="34">
                  <c:v>2016</c:v>
                </c:pt>
                <c:pt idx="35">
                  <c:v>2016</c:v>
                </c:pt>
                <c:pt idx="36">
                  <c:v>2017</c:v>
                </c:pt>
                <c:pt idx="37">
                  <c:v>2017</c:v>
                </c:pt>
                <c:pt idx="38">
                  <c:v>2017</c:v>
                </c:pt>
                <c:pt idx="39">
                  <c:v>2017</c:v>
                </c:pt>
                <c:pt idx="40">
                  <c:v>2018</c:v>
                </c:pt>
                <c:pt idx="41">
                  <c:v>2018</c:v>
                </c:pt>
                <c:pt idx="42">
                  <c:v>2018</c:v>
                </c:pt>
                <c:pt idx="43">
                  <c:v>2018</c:v>
                </c:pt>
                <c:pt idx="44">
                  <c:v>2019</c:v>
                </c:pt>
                <c:pt idx="45">
                  <c:v>2019</c:v>
                </c:pt>
                <c:pt idx="46">
                  <c:v>2019</c:v>
                </c:pt>
                <c:pt idx="47">
                  <c:v>2019</c:v>
                </c:pt>
                <c:pt idx="48">
                  <c:v>2020</c:v>
                </c:pt>
                <c:pt idx="49">
                  <c:v>2020</c:v>
                </c:pt>
              </c:numCache>
            </c:numRef>
          </c:cat>
          <c:val>
            <c:numRef>
              <c:f>'HPI - seasonally adjusted'!$H$71:$H$120</c:f>
              <c:numCache>
                <c:formatCode>0.0%</c:formatCode>
                <c:ptCount val="50"/>
                <c:pt idx="0">
                  <c:v>-1.3329681365835899E-2</c:v>
                </c:pt>
                <c:pt idx="1">
                  <c:v>-2.4528730411083388E-2</c:v>
                </c:pt>
                <c:pt idx="2">
                  <c:v>-2.382038879255266E-2</c:v>
                </c:pt>
                <c:pt idx="3">
                  <c:v>-6.5647604749556443E-2</c:v>
                </c:pt>
                <c:pt idx="4">
                  <c:v>-2.3086888128065031E-2</c:v>
                </c:pt>
                <c:pt idx="5">
                  <c:v>-2.1001164144353823E-2</c:v>
                </c:pt>
                <c:pt idx="6">
                  <c:v>-4.0435676888556316E-2</c:v>
                </c:pt>
                <c:pt idx="7">
                  <c:v>-7.985198169247143E-3</c:v>
                </c:pt>
                <c:pt idx="8">
                  <c:v>-3.8408714184229309E-2</c:v>
                </c:pt>
                <c:pt idx="9">
                  <c:v>-5.0466133942161373E-2</c:v>
                </c:pt>
                <c:pt idx="10">
                  <c:v>-1.5686656598626225E-2</c:v>
                </c:pt>
                <c:pt idx="11">
                  <c:v>-1.6786099931285103E-2</c:v>
                </c:pt>
                <c:pt idx="12">
                  <c:v>-3.2505910165484653E-2</c:v>
                </c:pt>
                <c:pt idx="13">
                  <c:v>-2.0087161248309338E-2</c:v>
                </c:pt>
                <c:pt idx="14">
                  <c:v>-2.0786933927245843E-2</c:v>
                </c:pt>
                <c:pt idx="15">
                  <c:v>-8.1369808306709368E-3</c:v>
                </c:pt>
                <c:pt idx="16">
                  <c:v>-1.0690287110568075E-2</c:v>
                </c:pt>
                <c:pt idx="17">
                  <c:v>6.1343420918102964E-4</c:v>
                </c:pt>
                <c:pt idx="18">
                  <c:v>-2.410917361637599E-2</c:v>
                </c:pt>
                <c:pt idx="19">
                  <c:v>-2.4661533041421269E-3</c:v>
                </c:pt>
                <c:pt idx="20">
                  <c:v>4.2091180405474882E-2</c:v>
                </c:pt>
                <c:pt idx="21">
                  <c:v>2.6106059057933839E-2</c:v>
                </c:pt>
                <c:pt idx="22">
                  <c:v>4.2935570747876461E-2</c:v>
                </c:pt>
                <c:pt idx="23">
                  <c:v>8.1735620585268176E-3</c:v>
                </c:pt>
                <c:pt idx="24">
                  <c:v>5.530317993284406E-3</c:v>
                </c:pt>
                <c:pt idx="25">
                  <c:v>1.8122977346278324E-2</c:v>
                </c:pt>
                <c:pt idx="26">
                  <c:v>3.1037393852113127E-2</c:v>
                </c:pt>
                <c:pt idx="27">
                  <c:v>2.2069862876588964E-2</c:v>
                </c:pt>
                <c:pt idx="28">
                  <c:v>1.0656059713219479E-2</c:v>
                </c:pt>
                <c:pt idx="29">
                  <c:v>4.0344271113501806E-2</c:v>
                </c:pt>
                <c:pt idx="30">
                  <c:v>1.6327906752721333E-2</c:v>
                </c:pt>
                <c:pt idx="31">
                  <c:v>3.9465308720560088E-2</c:v>
                </c:pt>
                <c:pt idx="32">
                  <c:v>6.0006802390554448E-2</c:v>
                </c:pt>
                <c:pt idx="33">
                  <c:v>2.105856914543569E-2</c:v>
                </c:pt>
                <c:pt idx="34">
                  <c:v>4.6158949812805217E-2</c:v>
                </c:pt>
                <c:pt idx="35">
                  <c:v>7.7676762918649001E-2</c:v>
                </c:pt>
                <c:pt idx="36">
                  <c:v>4.4554455445544594E-2</c:v>
                </c:pt>
                <c:pt idx="37">
                  <c:v>6.6752601049627103E-2</c:v>
                </c:pt>
                <c:pt idx="38">
                  <c:v>6.6681766704416834E-2</c:v>
                </c:pt>
                <c:pt idx="39">
                  <c:v>4.3360433604336057E-2</c:v>
                </c:pt>
                <c:pt idx="40">
                  <c:v>5.0509039845532788E-2</c:v>
                </c:pt>
                <c:pt idx="41">
                  <c:v>6.9005696530295202E-2</c:v>
                </c:pt>
                <c:pt idx="42">
                  <c:v>5.7289675967214571E-2</c:v>
                </c:pt>
                <c:pt idx="43">
                  <c:v>6.4558022622538846E-2</c:v>
                </c:pt>
                <c:pt idx="44">
                  <c:v>7.1598646560006696E-2</c:v>
                </c:pt>
                <c:pt idx="45">
                  <c:v>5.33688587461143E-2</c:v>
                </c:pt>
                <c:pt idx="46">
                  <c:v>7.1336760925450049E-2</c:v>
                </c:pt>
                <c:pt idx="47">
                  <c:v>5.0883475660147282E-2</c:v>
                </c:pt>
                <c:pt idx="48">
                  <c:v>7.8821190504034799E-2</c:v>
                </c:pt>
                <c:pt idx="49">
                  <c:v>6.484497758019403E-2</c:v>
                </c:pt>
              </c:numCache>
            </c:numRef>
          </c:val>
          <c:smooth val="0"/>
          <c:extLst>
            <c:ext xmlns:c16="http://schemas.microsoft.com/office/drawing/2014/chart" uri="{C3380CC4-5D6E-409C-BE32-E72D297353CC}">
              <c16:uniqueId val="{00000002-8F1E-40BB-9E2D-C875750C4AB9}"/>
            </c:ext>
          </c:extLst>
        </c:ser>
        <c:dLbls>
          <c:showLegendKey val="0"/>
          <c:showVal val="0"/>
          <c:showCatName val="0"/>
          <c:showSerName val="0"/>
          <c:showPercent val="0"/>
          <c:showBubbleSize val="0"/>
        </c:dLbls>
        <c:smooth val="0"/>
        <c:axId val="408636960"/>
        <c:axId val="408648768"/>
      </c:lineChart>
      <c:catAx>
        <c:axId val="408636960"/>
        <c:scaling>
          <c:orientation val="minMax"/>
        </c:scaling>
        <c:delete val="0"/>
        <c:axPos val="b"/>
        <c:numFmt formatCode="General" sourceLinked="1"/>
        <c:majorTickMark val="none"/>
        <c:minorTickMark val="none"/>
        <c:tickLblPos val="low"/>
        <c:spPr>
          <a:noFill/>
          <a:ln w="317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408648768"/>
        <c:crosses val="autoZero"/>
        <c:auto val="1"/>
        <c:lblAlgn val="ctr"/>
        <c:lblOffset val="100"/>
        <c:tickLblSkip val="4"/>
        <c:noMultiLvlLbl val="0"/>
      </c:catAx>
      <c:valAx>
        <c:axId val="408648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r>
                  <a:rPr lang="en-US"/>
                  <a:t>Year-over-year percent change</a:t>
                </a:r>
              </a:p>
            </c:rich>
          </c:tx>
          <c:layout>
            <c:manualLayout>
              <c:xMode val="edge"/>
              <c:yMode val="edge"/>
              <c:x val="2.0370370370370372E-2"/>
              <c:y val="0.214205473856209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40863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Garamond" panose="02020404030301010803"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rtl="0">
              <a:defRPr sz="1400"/>
            </a:pPr>
            <a:r>
              <a:rPr lang="en-US" sz="1400"/>
              <a:t>Consumer Sentiment and Small Business Optimism Indexes</a:t>
            </a:r>
          </a:p>
          <a:p>
            <a:pPr algn="ctr" rtl="0">
              <a:defRPr sz="1400"/>
            </a:pPr>
            <a:endParaRPr lang="en-US" sz="1400"/>
          </a:p>
        </c:rich>
      </c:tx>
      <c:overlay val="0"/>
      <c:spPr>
        <a:noFill/>
        <a:ln w="25400">
          <a:noFill/>
        </a:ln>
      </c:spPr>
    </c:title>
    <c:autoTitleDeleted val="0"/>
    <c:plotArea>
      <c:layout>
        <c:manualLayout>
          <c:layoutTarget val="inner"/>
          <c:xMode val="edge"/>
          <c:yMode val="edge"/>
          <c:x val="3.4158445711527437E-2"/>
          <c:y val="0.16137988898928618"/>
          <c:w val="0.88171361913094193"/>
          <c:h val="0.54971760728861785"/>
        </c:manualLayout>
      </c:layout>
      <c:lineChart>
        <c:grouping val="standard"/>
        <c:varyColors val="0"/>
        <c:ser>
          <c:idx val="0"/>
          <c:order val="0"/>
          <c:tx>
            <c:strRef>
              <c:f>combined!$D$1</c:f>
              <c:strCache>
                <c:ptCount val="1"/>
                <c:pt idx="0">
                  <c:v>Univ. of Mich. Consumer Sentiment (1966=100)</c:v>
                </c:pt>
              </c:strCache>
            </c:strRef>
          </c:tx>
          <c:spPr>
            <a:ln w="28575" cap="rnd">
              <a:solidFill>
                <a:schemeClr val="accent1"/>
              </a:solidFill>
              <a:round/>
            </a:ln>
            <a:effectLst/>
          </c:spPr>
          <c:marker>
            <c:symbol val="circle"/>
            <c:size val="3"/>
            <c:spPr>
              <a:solidFill>
                <a:schemeClr val="accent1"/>
              </a:solidFill>
              <a:ln w="9525">
                <a:solidFill>
                  <a:schemeClr val="accent1"/>
                </a:solidFill>
              </a:ln>
              <a:effectLst/>
            </c:spPr>
          </c:marker>
          <c:cat>
            <c:numRef>
              <c:f>combined!$A$2:$A$83</c:f>
              <c:numCache>
                <c:formatCode>mmm\-yy</c:formatCode>
                <c:ptCount val="82"/>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pt idx="60">
                  <c:v>43466</c:v>
                </c:pt>
                <c:pt idx="61">
                  <c:v>43497</c:v>
                </c:pt>
                <c:pt idx="62">
                  <c:v>43525</c:v>
                </c:pt>
                <c:pt idx="63">
                  <c:v>43556</c:v>
                </c:pt>
                <c:pt idx="64">
                  <c:v>43586</c:v>
                </c:pt>
                <c:pt idx="65">
                  <c:v>43617</c:v>
                </c:pt>
                <c:pt idx="66">
                  <c:v>43647</c:v>
                </c:pt>
                <c:pt idx="67">
                  <c:v>43678</c:v>
                </c:pt>
                <c:pt idx="68">
                  <c:v>43709</c:v>
                </c:pt>
                <c:pt idx="69">
                  <c:v>43739</c:v>
                </c:pt>
                <c:pt idx="70">
                  <c:v>43770</c:v>
                </c:pt>
                <c:pt idx="71">
                  <c:v>43800</c:v>
                </c:pt>
                <c:pt idx="72">
                  <c:v>43831</c:v>
                </c:pt>
                <c:pt idx="73">
                  <c:v>43862</c:v>
                </c:pt>
                <c:pt idx="74">
                  <c:v>43891</c:v>
                </c:pt>
                <c:pt idx="75">
                  <c:v>43922</c:v>
                </c:pt>
                <c:pt idx="76">
                  <c:v>43952</c:v>
                </c:pt>
                <c:pt idx="77">
                  <c:v>43983</c:v>
                </c:pt>
                <c:pt idx="78">
                  <c:v>44013</c:v>
                </c:pt>
                <c:pt idx="79">
                  <c:v>44044</c:v>
                </c:pt>
                <c:pt idx="80">
                  <c:v>44075</c:v>
                </c:pt>
                <c:pt idx="81">
                  <c:v>44105</c:v>
                </c:pt>
              </c:numCache>
            </c:numRef>
          </c:cat>
          <c:val>
            <c:numRef>
              <c:f>combined!$D$2:$D$83</c:f>
              <c:numCache>
                <c:formatCode>0.0</c:formatCode>
                <c:ptCount val="82"/>
                <c:pt idx="0">
                  <c:v>81.2</c:v>
                </c:pt>
                <c:pt idx="1">
                  <c:v>81.599999999999994</c:v>
                </c:pt>
                <c:pt idx="2">
                  <c:v>80</c:v>
                </c:pt>
                <c:pt idx="3">
                  <c:v>84.1</c:v>
                </c:pt>
                <c:pt idx="4">
                  <c:v>81.900000000000006</c:v>
                </c:pt>
                <c:pt idx="5">
                  <c:v>82.5</c:v>
                </c:pt>
                <c:pt idx="6">
                  <c:v>81.8</c:v>
                </c:pt>
                <c:pt idx="7">
                  <c:v>82.5</c:v>
                </c:pt>
                <c:pt idx="8">
                  <c:v>84.6</c:v>
                </c:pt>
                <c:pt idx="9">
                  <c:v>86.9</c:v>
                </c:pt>
                <c:pt idx="10">
                  <c:v>88.8</c:v>
                </c:pt>
                <c:pt idx="11">
                  <c:v>93.6</c:v>
                </c:pt>
                <c:pt idx="12">
                  <c:v>98.1</c:v>
                </c:pt>
                <c:pt idx="13">
                  <c:v>95.4</c:v>
                </c:pt>
                <c:pt idx="14">
                  <c:v>93</c:v>
                </c:pt>
                <c:pt idx="15">
                  <c:v>95.9</c:v>
                </c:pt>
                <c:pt idx="16">
                  <c:v>90.7</c:v>
                </c:pt>
                <c:pt idx="17">
                  <c:v>96.1</c:v>
                </c:pt>
                <c:pt idx="18">
                  <c:v>93.1</c:v>
                </c:pt>
                <c:pt idx="19">
                  <c:v>91.9</c:v>
                </c:pt>
                <c:pt idx="20">
                  <c:v>87.2</c:v>
                </c:pt>
                <c:pt idx="21">
                  <c:v>90</c:v>
                </c:pt>
                <c:pt idx="22">
                  <c:v>91.3</c:v>
                </c:pt>
                <c:pt idx="23">
                  <c:v>92.6</c:v>
                </c:pt>
                <c:pt idx="24">
                  <c:v>92</c:v>
                </c:pt>
                <c:pt idx="25">
                  <c:v>91.7</c:v>
                </c:pt>
                <c:pt idx="26">
                  <c:v>91</c:v>
                </c:pt>
                <c:pt idx="27">
                  <c:v>89</c:v>
                </c:pt>
                <c:pt idx="28">
                  <c:v>94.7</c:v>
                </c:pt>
                <c:pt idx="29">
                  <c:v>93.5</c:v>
                </c:pt>
                <c:pt idx="30">
                  <c:v>90</c:v>
                </c:pt>
                <c:pt idx="31">
                  <c:v>89.8</c:v>
                </c:pt>
                <c:pt idx="32">
                  <c:v>91.2</c:v>
                </c:pt>
                <c:pt idx="33">
                  <c:v>87.2</c:v>
                </c:pt>
                <c:pt idx="34">
                  <c:v>93.8</c:v>
                </c:pt>
                <c:pt idx="35">
                  <c:v>98.2</c:v>
                </c:pt>
                <c:pt idx="36">
                  <c:v>98.5</c:v>
                </c:pt>
                <c:pt idx="37">
                  <c:v>96.3</c:v>
                </c:pt>
                <c:pt idx="38">
                  <c:v>96.9</c:v>
                </c:pt>
                <c:pt idx="39">
                  <c:v>97</c:v>
                </c:pt>
                <c:pt idx="40">
                  <c:v>97.1</c:v>
                </c:pt>
                <c:pt idx="41">
                  <c:v>95</c:v>
                </c:pt>
                <c:pt idx="42">
                  <c:v>93.4</c:v>
                </c:pt>
                <c:pt idx="43">
                  <c:v>96.8</c:v>
                </c:pt>
                <c:pt idx="44">
                  <c:v>95.1</c:v>
                </c:pt>
                <c:pt idx="45">
                  <c:v>100.7</c:v>
                </c:pt>
                <c:pt idx="46">
                  <c:v>98.5</c:v>
                </c:pt>
                <c:pt idx="47">
                  <c:v>95.9</c:v>
                </c:pt>
                <c:pt idx="48">
                  <c:v>95.7</c:v>
                </c:pt>
                <c:pt idx="49">
                  <c:v>99.7</c:v>
                </c:pt>
                <c:pt idx="50">
                  <c:v>101.4</c:v>
                </c:pt>
                <c:pt idx="51">
                  <c:v>98.8</c:v>
                </c:pt>
                <c:pt idx="52">
                  <c:v>98</c:v>
                </c:pt>
                <c:pt idx="53">
                  <c:v>98.2</c:v>
                </c:pt>
                <c:pt idx="54">
                  <c:v>97.9</c:v>
                </c:pt>
                <c:pt idx="55">
                  <c:v>96.2</c:v>
                </c:pt>
                <c:pt idx="56">
                  <c:v>100.1</c:v>
                </c:pt>
                <c:pt idx="57">
                  <c:v>98.6</c:v>
                </c:pt>
                <c:pt idx="58">
                  <c:v>97.5</c:v>
                </c:pt>
                <c:pt idx="59">
                  <c:v>98.3</c:v>
                </c:pt>
                <c:pt idx="60">
                  <c:v>91.2</c:v>
                </c:pt>
                <c:pt idx="61">
                  <c:v>93.8</c:v>
                </c:pt>
                <c:pt idx="62">
                  <c:v>98.4</c:v>
                </c:pt>
                <c:pt idx="63">
                  <c:v>97.2</c:v>
                </c:pt>
                <c:pt idx="64">
                  <c:v>100</c:v>
                </c:pt>
                <c:pt idx="65">
                  <c:v>98.2</c:v>
                </c:pt>
                <c:pt idx="66">
                  <c:v>98.4</c:v>
                </c:pt>
                <c:pt idx="67">
                  <c:v>89.8</c:v>
                </c:pt>
                <c:pt idx="68">
                  <c:v>93.2</c:v>
                </c:pt>
                <c:pt idx="69">
                  <c:v>95.5</c:v>
                </c:pt>
                <c:pt idx="70">
                  <c:v>96.8</c:v>
                </c:pt>
                <c:pt idx="71">
                  <c:v>99.3</c:v>
                </c:pt>
                <c:pt idx="72">
                  <c:v>99.8</c:v>
                </c:pt>
                <c:pt idx="73">
                  <c:v>101</c:v>
                </c:pt>
                <c:pt idx="74">
                  <c:v>89.1</c:v>
                </c:pt>
                <c:pt idx="75">
                  <c:v>71.8</c:v>
                </c:pt>
                <c:pt idx="76">
                  <c:v>72.3</c:v>
                </c:pt>
                <c:pt idx="77">
                  <c:v>78.099999999999994</c:v>
                </c:pt>
                <c:pt idx="78">
                  <c:v>72.5</c:v>
                </c:pt>
                <c:pt idx="79">
                  <c:v>74.099999999999994</c:v>
                </c:pt>
                <c:pt idx="80">
                  <c:v>80.400000000000006</c:v>
                </c:pt>
                <c:pt idx="81">
                  <c:v>81.2</c:v>
                </c:pt>
              </c:numCache>
            </c:numRef>
          </c:val>
          <c:smooth val="0"/>
          <c:extLst>
            <c:ext xmlns:c16="http://schemas.microsoft.com/office/drawing/2014/chart" uri="{C3380CC4-5D6E-409C-BE32-E72D297353CC}">
              <c16:uniqueId val="{00000000-D045-4151-862E-28FD088E5C56}"/>
            </c:ext>
          </c:extLst>
        </c:ser>
        <c:ser>
          <c:idx val="1"/>
          <c:order val="1"/>
          <c:tx>
            <c:strRef>
              <c:f>combined!$E$1</c:f>
              <c:strCache>
                <c:ptCount val="1"/>
                <c:pt idx="0">
                  <c:v>NFIB Small Business Optimism (1986=100)</c:v>
                </c:pt>
              </c:strCache>
            </c:strRef>
          </c:tx>
          <c:spPr>
            <a:ln w="28575" cap="rnd">
              <a:solidFill>
                <a:schemeClr val="accent2"/>
              </a:solidFill>
              <a:round/>
            </a:ln>
            <a:effectLst/>
          </c:spPr>
          <c:marker>
            <c:symbol val="circle"/>
            <c:size val="3"/>
          </c:marker>
          <c:cat>
            <c:numRef>
              <c:f>combined!$A$2:$A$83</c:f>
              <c:numCache>
                <c:formatCode>mmm\-yy</c:formatCode>
                <c:ptCount val="82"/>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pt idx="60">
                  <c:v>43466</c:v>
                </c:pt>
                <c:pt idx="61">
                  <c:v>43497</c:v>
                </c:pt>
                <c:pt idx="62">
                  <c:v>43525</c:v>
                </c:pt>
                <c:pt idx="63">
                  <c:v>43556</c:v>
                </c:pt>
                <c:pt idx="64">
                  <c:v>43586</c:v>
                </c:pt>
                <c:pt idx="65">
                  <c:v>43617</c:v>
                </c:pt>
                <c:pt idx="66">
                  <c:v>43647</c:v>
                </c:pt>
                <c:pt idx="67">
                  <c:v>43678</c:v>
                </c:pt>
                <c:pt idx="68">
                  <c:v>43709</c:v>
                </c:pt>
                <c:pt idx="69">
                  <c:v>43739</c:v>
                </c:pt>
                <c:pt idx="70">
                  <c:v>43770</c:v>
                </c:pt>
                <c:pt idx="71">
                  <c:v>43800</c:v>
                </c:pt>
                <c:pt idx="72">
                  <c:v>43831</c:v>
                </c:pt>
                <c:pt idx="73">
                  <c:v>43862</c:v>
                </c:pt>
                <c:pt idx="74">
                  <c:v>43891</c:v>
                </c:pt>
                <c:pt idx="75">
                  <c:v>43922</c:v>
                </c:pt>
                <c:pt idx="76">
                  <c:v>43952</c:v>
                </c:pt>
                <c:pt idx="77">
                  <c:v>43983</c:v>
                </c:pt>
                <c:pt idx="78">
                  <c:v>44013</c:v>
                </c:pt>
                <c:pt idx="79">
                  <c:v>44044</c:v>
                </c:pt>
                <c:pt idx="80">
                  <c:v>44075</c:v>
                </c:pt>
                <c:pt idx="81">
                  <c:v>44105</c:v>
                </c:pt>
              </c:numCache>
            </c:numRef>
          </c:cat>
          <c:val>
            <c:numRef>
              <c:f>combined!$E$2:$E$83</c:f>
              <c:numCache>
                <c:formatCode>General</c:formatCode>
                <c:ptCount val="82"/>
                <c:pt idx="0">
                  <c:v>94</c:v>
                </c:pt>
                <c:pt idx="1">
                  <c:v>91.6</c:v>
                </c:pt>
                <c:pt idx="2">
                  <c:v>94</c:v>
                </c:pt>
                <c:pt idx="3">
                  <c:v>94.8</c:v>
                </c:pt>
                <c:pt idx="4">
                  <c:v>96.2</c:v>
                </c:pt>
                <c:pt idx="5">
                  <c:v>95.4</c:v>
                </c:pt>
                <c:pt idx="6">
                  <c:v>96</c:v>
                </c:pt>
                <c:pt idx="7">
                  <c:v>95.9</c:v>
                </c:pt>
                <c:pt idx="8">
                  <c:v>95.3</c:v>
                </c:pt>
                <c:pt idx="9">
                  <c:v>96</c:v>
                </c:pt>
                <c:pt idx="10">
                  <c:v>97.8</c:v>
                </c:pt>
                <c:pt idx="11">
                  <c:v>100.3</c:v>
                </c:pt>
                <c:pt idx="12">
                  <c:v>97.7</c:v>
                </c:pt>
                <c:pt idx="13">
                  <c:v>98.1</c:v>
                </c:pt>
                <c:pt idx="14">
                  <c:v>95.7</c:v>
                </c:pt>
                <c:pt idx="15">
                  <c:v>96.5</c:v>
                </c:pt>
                <c:pt idx="16">
                  <c:v>97.9</c:v>
                </c:pt>
                <c:pt idx="17">
                  <c:v>94.6</c:v>
                </c:pt>
                <c:pt idx="18">
                  <c:v>95.7</c:v>
                </c:pt>
                <c:pt idx="19">
                  <c:v>95.7</c:v>
                </c:pt>
                <c:pt idx="20">
                  <c:v>96</c:v>
                </c:pt>
                <c:pt idx="21">
                  <c:v>96</c:v>
                </c:pt>
                <c:pt idx="22">
                  <c:v>94.5</c:v>
                </c:pt>
                <c:pt idx="23">
                  <c:v>95.2</c:v>
                </c:pt>
                <c:pt idx="24">
                  <c:v>93.9</c:v>
                </c:pt>
                <c:pt idx="25">
                  <c:v>92.9</c:v>
                </c:pt>
                <c:pt idx="26">
                  <c:v>92.6</c:v>
                </c:pt>
                <c:pt idx="27">
                  <c:v>93.6</c:v>
                </c:pt>
                <c:pt idx="28">
                  <c:v>93.8</c:v>
                </c:pt>
                <c:pt idx="29">
                  <c:v>94.5</c:v>
                </c:pt>
                <c:pt idx="30">
                  <c:v>94.6</c:v>
                </c:pt>
                <c:pt idx="31">
                  <c:v>94.4</c:v>
                </c:pt>
                <c:pt idx="32">
                  <c:v>94.1</c:v>
                </c:pt>
                <c:pt idx="33">
                  <c:v>94.9</c:v>
                </c:pt>
                <c:pt idx="34">
                  <c:v>98.4</c:v>
                </c:pt>
                <c:pt idx="35">
                  <c:v>105.8</c:v>
                </c:pt>
                <c:pt idx="36">
                  <c:v>105.9</c:v>
                </c:pt>
                <c:pt idx="37">
                  <c:v>105.3</c:v>
                </c:pt>
                <c:pt idx="38">
                  <c:v>104.7</c:v>
                </c:pt>
                <c:pt idx="39">
                  <c:v>104.5</c:v>
                </c:pt>
                <c:pt idx="40">
                  <c:v>104.5</c:v>
                </c:pt>
                <c:pt idx="41">
                  <c:v>103.6</c:v>
                </c:pt>
                <c:pt idx="42">
                  <c:v>105.2</c:v>
                </c:pt>
                <c:pt idx="43">
                  <c:v>105.3</c:v>
                </c:pt>
                <c:pt idx="44">
                  <c:v>103</c:v>
                </c:pt>
                <c:pt idx="45">
                  <c:v>103.8</c:v>
                </c:pt>
                <c:pt idx="46">
                  <c:v>107.5</c:v>
                </c:pt>
                <c:pt idx="47">
                  <c:v>104.9</c:v>
                </c:pt>
                <c:pt idx="48">
                  <c:v>106.9</c:v>
                </c:pt>
                <c:pt idx="49">
                  <c:v>107.6</c:v>
                </c:pt>
                <c:pt idx="50">
                  <c:v>104.7</c:v>
                </c:pt>
                <c:pt idx="51">
                  <c:v>104.8</c:v>
                </c:pt>
                <c:pt idx="52">
                  <c:v>107.8</c:v>
                </c:pt>
                <c:pt idx="53">
                  <c:v>107.2</c:v>
                </c:pt>
                <c:pt idx="54">
                  <c:v>107.9</c:v>
                </c:pt>
                <c:pt idx="55">
                  <c:v>108.8</c:v>
                </c:pt>
                <c:pt idx="56">
                  <c:v>107.9</c:v>
                </c:pt>
                <c:pt idx="57">
                  <c:v>107.4</c:v>
                </c:pt>
                <c:pt idx="58">
                  <c:v>104.8</c:v>
                </c:pt>
                <c:pt idx="59">
                  <c:v>104.4</c:v>
                </c:pt>
                <c:pt idx="60">
                  <c:v>101.2</c:v>
                </c:pt>
                <c:pt idx="61">
                  <c:v>101.7</c:v>
                </c:pt>
                <c:pt idx="62" formatCode="0.0">
                  <c:v>101.8</c:v>
                </c:pt>
                <c:pt idx="63" formatCode="0.0">
                  <c:v>103.5</c:v>
                </c:pt>
                <c:pt idx="64" formatCode="0.0">
                  <c:v>105</c:v>
                </c:pt>
                <c:pt idx="65" formatCode="0.0">
                  <c:v>103.3</c:v>
                </c:pt>
                <c:pt idx="66" formatCode="0.0">
                  <c:v>104.7</c:v>
                </c:pt>
                <c:pt idx="67" formatCode="0.0">
                  <c:v>103.1</c:v>
                </c:pt>
                <c:pt idx="68" formatCode="0.0">
                  <c:v>101.8</c:v>
                </c:pt>
                <c:pt idx="69" formatCode="0.0">
                  <c:v>102.4</c:v>
                </c:pt>
                <c:pt idx="70" formatCode="0.0">
                  <c:v>104.7</c:v>
                </c:pt>
                <c:pt idx="71" formatCode="0.0">
                  <c:v>102.7</c:v>
                </c:pt>
                <c:pt idx="72" formatCode="0.0">
                  <c:v>104.3</c:v>
                </c:pt>
                <c:pt idx="73" formatCode="0.0">
                  <c:v>104.5</c:v>
                </c:pt>
                <c:pt idx="74" formatCode="0.0">
                  <c:v>96.4</c:v>
                </c:pt>
                <c:pt idx="75" formatCode="0.0">
                  <c:v>90.9</c:v>
                </c:pt>
                <c:pt idx="76" formatCode="0.0">
                  <c:v>94.4</c:v>
                </c:pt>
                <c:pt idx="77" formatCode="0.0">
                  <c:v>100.6</c:v>
                </c:pt>
                <c:pt idx="78" formatCode="0.0">
                  <c:v>98.8</c:v>
                </c:pt>
                <c:pt idx="79" formatCode="0.0">
                  <c:v>100.2</c:v>
                </c:pt>
                <c:pt idx="80" formatCode="0.0">
                  <c:v>104</c:v>
                </c:pt>
              </c:numCache>
            </c:numRef>
          </c:val>
          <c:smooth val="0"/>
          <c:extLst>
            <c:ext xmlns:c16="http://schemas.microsoft.com/office/drawing/2014/chart" uri="{C3380CC4-5D6E-409C-BE32-E72D297353CC}">
              <c16:uniqueId val="{00000001-D045-4151-862E-28FD088E5C56}"/>
            </c:ext>
          </c:extLst>
        </c:ser>
        <c:dLbls>
          <c:showLegendKey val="0"/>
          <c:showVal val="0"/>
          <c:showCatName val="0"/>
          <c:showSerName val="0"/>
          <c:showPercent val="0"/>
          <c:showBubbleSize val="0"/>
        </c:dLbls>
        <c:marker val="1"/>
        <c:smooth val="0"/>
        <c:axId val="369542184"/>
        <c:axId val="1"/>
      </c:lineChart>
      <c:dateAx>
        <c:axId val="369542184"/>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Offset val="100"/>
        <c:baseTimeUnit val="months"/>
      </c:dateAx>
      <c:valAx>
        <c:axId val="1"/>
        <c:scaling>
          <c:orientation val="minMax"/>
          <c:min val="60"/>
        </c:scaling>
        <c:delete val="0"/>
        <c:axPos val="l"/>
        <c:numFmt formatCode="0" sourceLinked="0"/>
        <c:majorTickMark val="none"/>
        <c:minorTickMark val="none"/>
        <c:tickLblPos val="nextTo"/>
        <c:spPr>
          <a:ln w="9525">
            <a:noFill/>
          </a:ln>
        </c:spPr>
        <c:txPr>
          <a:bodyPr rot="-60000000" vert="horz"/>
          <a:lstStyle/>
          <a:p>
            <a:pPr>
              <a:defRPr/>
            </a:pPr>
            <a:endParaRPr lang="en-US"/>
          </a:p>
        </c:txPr>
        <c:crossAx val="369542184"/>
        <c:crosses val="autoZero"/>
        <c:crossBetween val="between"/>
      </c:valAx>
      <c:spPr>
        <a:noFill/>
        <a:ln>
          <a:solidFill>
            <a:schemeClr val="tx2"/>
          </a:solidFill>
        </a:ln>
        <a:effectLst/>
      </c:spPr>
    </c:plotArea>
    <c:legend>
      <c:legendPos val="b"/>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0.03376</cdr:x>
      <cdr:y>0.38074</cdr:y>
    </cdr:from>
    <cdr:to>
      <cdr:x>0.98204</cdr:x>
      <cdr:y>0.38279</cdr:y>
    </cdr:to>
    <cdr:cxnSp macro="">
      <cdr:nvCxnSpPr>
        <cdr:cNvPr id="3" name="Straight Connector 2">
          <a:extLst xmlns:a="http://schemas.openxmlformats.org/drawingml/2006/main">
            <a:ext uri="{FF2B5EF4-FFF2-40B4-BE49-F238E27FC236}">
              <a16:creationId xmlns:a16="http://schemas.microsoft.com/office/drawing/2014/main" id="{D6420F8B-2184-4AFD-BFCD-71D842158D24}"/>
            </a:ext>
          </a:extLst>
        </cdr:cNvPr>
        <cdr:cNvCxnSpPr/>
      </cdr:nvCxnSpPr>
      <cdr:spPr>
        <a:xfrm xmlns:a="http://schemas.openxmlformats.org/drawingml/2006/main" flipV="1">
          <a:off x="358140" y="1769745"/>
          <a:ext cx="10058400" cy="9525"/>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3" ma:contentTypeDescription="Create a new document." ma:contentTypeScope="" ma:versionID="a9815fbcb0d5ac6ee289ff78f4a378d3">
  <xsd:schema xmlns:xsd="http://www.w3.org/2001/XMLSchema" xmlns:xs="http://www.w3.org/2001/XMLSchema" xmlns:p="http://schemas.microsoft.com/office/2006/metadata/properties" xmlns:ns1="http://schemas.microsoft.com/sharepoint/v3" xmlns:ns3="cc12e628-22e7-462b-b5e1-74e82deda3ec" xmlns:ns4="88fb8db8-5e83-4878-b6e4-6d2cebaeeba7" targetNamespace="http://schemas.microsoft.com/office/2006/metadata/properties" ma:root="true" ma:fieldsID="3ebcf0659cdd3f0f78c79ce09e0bee9c" ns1:_="" ns3:_="" ns4:_="">
    <xsd:import namespace="http://schemas.microsoft.com/sharepoint/v3"/>
    <xsd:import namespace="cc12e628-22e7-462b-b5e1-74e82deda3ec"/>
    <xsd:import namespace="88fb8db8-5e83-4878-b6e4-6d2cebaeeba7"/>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D8C1-E977-455D-AF63-E25D031A0812}">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8fb8db8-5e83-4878-b6e4-6d2cebaeeba7"/>
    <ds:schemaRef ds:uri="cc12e628-22e7-462b-b5e1-74e82deda3ec"/>
    <ds:schemaRef ds:uri="http://www.w3.org/XML/1998/namespace"/>
    <ds:schemaRef ds:uri="http://purl.org/dc/dcmitype/"/>
  </ds:schemaRefs>
</ds:datastoreItem>
</file>

<file path=customXml/itemProps2.xml><?xml version="1.0" encoding="utf-8"?>
<ds:datastoreItem xmlns:ds="http://schemas.openxmlformats.org/officeDocument/2006/customXml" ds:itemID="{02701DC5-FC00-4C90-926C-7BE9FE972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060AA-2CB4-42D7-B646-A0B03A4395E3}">
  <ds:schemaRefs>
    <ds:schemaRef ds:uri="http://schemas.microsoft.com/sharepoint/v3/contenttype/forms"/>
  </ds:schemaRefs>
</ds:datastoreItem>
</file>

<file path=customXml/itemProps4.xml><?xml version="1.0" encoding="utf-8"?>
<ds:datastoreItem xmlns:ds="http://schemas.openxmlformats.org/officeDocument/2006/customXml" ds:itemID="{4B00E169-6737-4B41-BC08-67401FB0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Pandey, Sujita</dc:creator>
  <cp:keywords/>
  <dc:description/>
  <cp:lastModifiedBy>Hallowell, Angela</cp:lastModifiedBy>
  <cp:revision>4</cp:revision>
  <cp:lastPrinted>2020-10-30T12:06:00Z</cp:lastPrinted>
  <dcterms:created xsi:type="dcterms:W3CDTF">2020-10-29T18:13:00Z</dcterms:created>
  <dcterms:modified xsi:type="dcterms:W3CDTF">2020-10-30T13:44:00Z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